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ED012" w14:textId="77777777" w:rsidR="00361EB7" w:rsidRDefault="00361EB7" w:rsidP="00361EB7">
      <w:pPr>
        <w:jc w:val="center"/>
        <w:rPr>
          <w:rFonts w:eastAsiaTheme="minorHAnsi" w:cstheme="minorHAnsi"/>
          <w:b/>
          <w:bCs/>
          <w:color w:val="000000"/>
          <w:sz w:val="28"/>
          <w:szCs w:val="28"/>
        </w:rPr>
      </w:pPr>
    </w:p>
    <w:p w14:paraId="20D70E44" w14:textId="14DCFC11" w:rsidR="00361EB7" w:rsidRPr="00361EB7" w:rsidRDefault="00361EB7" w:rsidP="00361EB7">
      <w:pPr>
        <w:jc w:val="center"/>
        <w:rPr>
          <w:rFonts w:eastAsiaTheme="minorHAnsi" w:cstheme="minorHAnsi"/>
          <w:b/>
          <w:bCs/>
          <w:color w:val="000000"/>
          <w:sz w:val="24"/>
          <w:szCs w:val="24"/>
        </w:rPr>
      </w:pPr>
      <w:r w:rsidRPr="00361EB7">
        <w:rPr>
          <w:rFonts w:eastAsiaTheme="minorHAnsi" w:cstheme="minorHAnsi"/>
          <w:b/>
          <w:bCs/>
          <w:color w:val="000000"/>
          <w:sz w:val="24"/>
          <w:szCs w:val="24"/>
        </w:rPr>
        <w:t>EUROPSKI SOCIJALNI FOND PLUS</w:t>
      </w:r>
    </w:p>
    <w:p w14:paraId="754AF964" w14:textId="77777777" w:rsidR="00361EB7" w:rsidRPr="00361EB7" w:rsidRDefault="00361EB7" w:rsidP="00361EB7">
      <w:pPr>
        <w:jc w:val="center"/>
        <w:rPr>
          <w:rFonts w:eastAsiaTheme="minorHAnsi" w:cstheme="minorHAnsi"/>
          <w:b/>
          <w:bCs/>
          <w:color w:val="000000"/>
          <w:sz w:val="24"/>
          <w:szCs w:val="24"/>
        </w:rPr>
      </w:pPr>
      <w:r w:rsidRPr="00361EB7">
        <w:rPr>
          <w:rFonts w:eastAsiaTheme="minorHAnsi" w:cstheme="minorHAnsi"/>
          <w:b/>
          <w:bCs/>
          <w:color w:val="000000"/>
          <w:sz w:val="24"/>
          <w:szCs w:val="24"/>
        </w:rPr>
        <w:t>PROGRAM UČINKOVITI LJUDSKI POTENCIJALI 2021. - 2027.</w:t>
      </w:r>
    </w:p>
    <w:p w14:paraId="584E59BD" w14:textId="161FF563" w:rsidR="00361EB7" w:rsidRPr="00361EB7" w:rsidRDefault="00361EB7" w:rsidP="00361EB7">
      <w:pPr>
        <w:jc w:val="center"/>
        <w:rPr>
          <w:rFonts w:eastAsiaTheme="minorHAnsi" w:cstheme="minorHAnsi"/>
          <w:b/>
          <w:bCs/>
          <w:color w:val="000000"/>
          <w:sz w:val="24"/>
          <w:szCs w:val="24"/>
        </w:rPr>
      </w:pPr>
      <w:r w:rsidRPr="00361EB7">
        <w:rPr>
          <w:rFonts w:eastAsiaTheme="minorHAnsi" w:cstheme="minorHAnsi"/>
          <w:b/>
          <w:bCs/>
          <w:color w:val="000000"/>
          <w:sz w:val="24"/>
          <w:szCs w:val="24"/>
        </w:rPr>
        <w:t xml:space="preserve">Sažetak izmjena i dopuna </w:t>
      </w:r>
      <w:r>
        <w:rPr>
          <w:rFonts w:eastAsiaTheme="minorHAnsi" w:cstheme="minorHAnsi"/>
          <w:b/>
          <w:bCs/>
          <w:color w:val="000000"/>
          <w:sz w:val="24"/>
          <w:szCs w:val="24"/>
        </w:rPr>
        <w:t>za</w:t>
      </w:r>
      <w:r w:rsidRPr="00361EB7">
        <w:rPr>
          <w:rFonts w:eastAsiaTheme="minorHAnsi" w:cstheme="minorHAnsi"/>
          <w:b/>
          <w:bCs/>
          <w:color w:val="000000"/>
          <w:sz w:val="24"/>
          <w:szCs w:val="24"/>
        </w:rPr>
        <w:t xml:space="preserve"> Poziv na dostavu projektnih prijedloga</w:t>
      </w:r>
      <w:bookmarkStart w:id="0" w:name="_Hlk158963387"/>
      <w:r w:rsidRPr="00361EB7">
        <w:rPr>
          <w:rFonts w:eastAsiaTheme="minorHAnsi" w:cstheme="minorHAnsi"/>
          <w:b/>
          <w:bCs/>
          <w:color w:val="000000"/>
          <w:sz w:val="24"/>
          <w:szCs w:val="24"/>
        </w:rPr>
        <w:t xml:space="preserve"> </w:t>
      </w:r>
    </w:p>
    <w:p w14:paraId="50D5992D" w14:textId="77777777" w:rsidR="00361EB7" w:rsidRPr="00361EB7" w:rsidRDefault="00361EB7" w:rsidP="00361EB7">
      <w:pPr>
        <w:jc w:val="center"/>
        <w:rPr>
          <w:rFonts w:eastAsiaTheme="minorHAnsi" w:cstheme="minorHAnsi"/>
          <w:b/>
          <w:bCs/>
          <w:color w:val="000000"/>
          <w:sz w:val="24"/>
          <w:szCs w:val="24"/>
        </w:rPr>
      </w:pPr>
      <w:r w:rsidRPr="00361EB7">
        <w:rPr>
          <w:rStyle w:val="Bodytext28"/>
          <w:rFonts w:asciiTheme="minorHAnsi" w:eastAsiaTheme="minorHAnsi" w:hAnsiTheme="minorHAnsi" w:cstheme="minorHAnsi"/>
          <w:b/>
          <w:sz w:val="24"/>
          <w:szCs w:val="24"/>
          <w:lang w:val="hr-HR"/>
        </w:rPr>
        <w:t xml:space="preserve">Inkluzivne usluge ustanova u kulturi </w:t>
      </w:r>
      <w:bookmarkEnd w:id="0"/>
    </w:p>
    <w:p w14:paraId="2D62344E" w14:textId="77777777" w:rsidR="00361EB7" w:rsidRPr="00361EB7" w:rsidRDefault="00361EB7" w:rsidP="00361EB7">
      <w:pPr>
        <w:jc w:val="center"/>
        <w:rPr>
          <w:rFonts w:cstheme="minorHAnsi"/>
          <w:b/>
          <w:i/>
          <w:sz w:val="24"/>
          <w:szCs w:val="24"/>
        </w:rPr>
      </w:pPr>
      <w:bookmarkStart w:id="1" w:name="_Hlk181003509"/>
      <w:r w:rsidRPr="00361EB7">
        <w:rPr>
          <w:rFonts w:cstheme="minorHAnsi"/>
          <w:b/>
          <w:sz w:val="24"/>
          <w:szCs w:val="24"/>
        </w:rPr>
        <w:t>(</w:t>
      </w:r>
      <w:r w:rsidRPr="00361EB7">
        <w:rPr>
          <w:rFonts w:cstheme="minorHAnsi"/>
          <w:b/>
          <w:i/>
          <w:sz w:val="24"/>
          <w:szCs w:val="24"/>
        </w:rPr>
        <w:t>referentni broj: SF.3.4.08.04)</w:t>
      </w:r>
    </w:p>
    <w:bookmarkEnd w:id="1"/>
    <w:p w14:paraId="2B7D6FD3" w14:textId="77777777" w:rsidR="00361EB7" w:rsidRPr="00361EB7" w:rsidRDefault="00361EB7" w:rsidP="00361EB7">
      <w:pPr>
        <w:jc w:val="center"/>
        <w:rPr>
          <w:rFonts w:eastAsiaTheme="minorHAnsi" w:cstheme="minorHAnsi"/>
          <w:b/>
          <w:sz w:val="24"/>
          <w:szCs w:val="24"/>
        </w:rPr>
      </w:pPr>
      <w:r w:rsidRPr="00361EB7">
        <w:rPr>
          <w:rFonts w:eastAsiaTheme="minorHAnsi" w:cstheme="minorHAnsi"/>
          <w:b/>
          <w:sz w:val="24"/>
          <w:szCs w:val="24"/>
        </w:rPr>
        <w:t>I. izmjene i dopune natječajne dokumentacije</w:t>
      </w:r>
    </w:p>
    <w:p w14:paraId="244760CD" w14:textId="37138401" w:rsidR="00361EB7" w:rsidRPr="00361EB7" w:rsidRDefault="00361EB7" w:rsidP="00361EB7">
      <w:pPr>
        <w:jc w:val="center"/>
        <w:rPr>
          <w:rFonts w:eastAsiaTheme="minorHAnsi" w:cstheme="minorHAnsi"/>
          <w:b/>
          <w:color w:val="FF0000"/>
          <w:sz w:val="24"/>
          <w:szCs w:val="24"/>
        </w:rPr>
      </w:pPr>
      <w:r w:rsidRPr="00361EB7">
        <w:rPr>
          <w:rFonts w:eastAsiaTheme="minorHAnsi" w:cstheme="minorHAnsi"/>
          <w:b/>
          <w:color w:val="FF0000"/>
          <w:sz w:val="24"/>
          <w:szCs w:val="24"/>
        </w:rPr>
        <w:t xml:space="preserve">(izmjene </w:t>
      </w:r>
      <w:r w:rsidR="00094BCF">
        <w:rPr>
          <w:rFonts w:eastAsiaTheme="minorHAnsi" w:cstheme="minorHAnsi"/>
          <w:b/>
          <w:color w:val="FF0000"/>
          <w:sz w:val="24"/>
          <w:szCs w:val="24"/>
        </w:rPr>
        <w:t xml:space="preserve">i dopune </w:t>
      </w:r>
      <w:r w:rsidRPr="00361EB7">
        <w:rPr>
          <w:rFonts w:eastAsiaTheme="minorHAnsi" w:cstheme="minorHAnsi"/>
          <w:b/>
          <w:color w:val="FF0000"/>
          <w:sz w:val="24"/>
          <w:szCs w:val="24"/>
        </w:rPr>
        <w:t xml:space="preserve">natječajne dokumentacije stupaju na snagu danom objave na mrežnoj stranici ESF+ i u sustavu </w:t>
      </w:r>
      <w:proofErr w:type="spellStart"/>
      <w:r w:rsidRPr="00361EB7">
        <w:rPr>
          <w:rFonts w:eastAsiaTheme="minorHAnsi" w:cstheme="minorHAnsi"/>
          <w:b/>
          <w:color w:val="FF0000"/>
          <w:sz w:val="24"/>
          <w:szCs w:val="24"/>
        </w:rPr>
        <w:t>eKohezija</w:t>
      </w:r>
      <w:proofErr w:type="spellEnd"/>
      <w:r w:rsidRPr="00361EB7">
        <w:rPr>
          <w:rFonts w:eastAsiaTheme="minorHAnsi" w:cstheme="minorHAnsi"/>
          <w:b/>
          <w:color w:val="FF0000"/>
          <w:sz w:val="24"/>
          <w:szCs w:val="24"/>
        </w:rPr>
        <w:t>)</w:t>
      </w:r>
    </w:p>
    <w:p w14:paraId="3F01DE8E" w14:textId="77777777" w:rsidR="00361EB7" w:rsidRPr="00D373E6" w:rsidRDefault="00361EB7" w:rsidP="00361EB7">
      <w:pPr>
        <w:jc w:val="both"/>
        <w:rPr>
          <w:rFonts w:eastAsiaTheme="minorHAnsi" w:cstheme="minorHAnsi"/>
          <w:b/>
          <w:color w:val="FF0000"/>
          <w:sz w:val="28"/>
          <w:szCs w:val="28"/>
        </w:rPr>
      </w:pPr>
    </w:p>
    <w:p w14:paraId="45C3C09B" w14:textId="77777777" w:rsidR="00361EB7" w:rsidRPr="00D373E6" w:rsidRDefault="00361EB7" w:rsidP="00361EB7">
      <w:pPr>
        <w:jc w:val="both"/>
        <w:rPr>
          <w:rFonts w:eastAsiaTheme="minorHAnsi" w:cstheme="minorHAnsi"/>
          <w:b/>
          <w:sz w:val="28"/>
          <w:szCs w:val="28"/>
          <w:u w:val="single"/>
        </w:rPr>
      </w:pPr>
      <w:r w:rsidRPr="00D373E6">
        <w:rPr>
          <w:rFonts w:eastAsiaTheme="minorHAnsi" w:cstheme="minorHAnsi"/>
          <w:b/>
          <w:sz w:val="28"/>
          <w:szCs w:val="28"/>
          <w:u w:val="single"/>
        </w:rPr>
        <w:t>Upute za prijavitelje</w:t>
      </w:r>
    </w:p>
    <w:p w14:paraId="01C0DE0B" w14:textId="77777777" w:rsidR="00361EB7" w:rsidRPr="00D373E6" w:rsidRDefault="00361EB7" w:rsidP="00361EB7">
      <w:pPr>
        <w:jc w:val="both"/>
        <w:rPr>
          <w:rFonts w:cstheme="minorHAnsi"/>
        </w:rPr>
      </w:pPr>
      <w:r w:rsidRPr="00D373E6">
        <w:rPr>
          <w:rFonts w:cstheme="minorHAnsi"/>
        </w:rPr>
        <w:t>U okviru Uputa za prijavitelje izvršene su izmjene/dopune u sljedećim točkama:</w:t>
      </w:r>
    </w:p>
    <w:p w14:paraId="5F12F667" w14:textId="77777777" w:rsidR="00361EB7" w:rsidRPr="00D373E6" w:rsidRDefault="00361EB7" w:rsidP="00361EB7">
      <w:pPr>
        <w:pStyle w:val="ListParagraph"/>
        <w:numPr>
          <w:ilvl w:val="0"/>
          <w:numId w:val="1"/>
        </w:numPr>
        <w:jc w:val="both"/>
        <w:rPr>
          <w:rFonts w:cstheme="minorHAnsi"/>
          <w:b/>
          <w:bCs/>
          <w:sz w:val="24"/>
          <w:szCs w:val="24"/>
        </w:rPr>
      </w:pPr>
      <w:r w:rsidRPr="00D373E6">
        <w:rPr>
          <w:rFonts w:cstheme="minorHAnsi"/>
          <w:b/>
          <w:bCs/>
          <w:sz w:val="24"/>
          <w:szCs w:val="24"/>
        </w:rPr>
        <w:t>Točka 2.6.4. Osnove isključenja za Prijavitelja i/ili Partnere</w:t>
      </w:r>
    </w:p>
    <w:p w14:paraId="7583C647" w14:textId="77777777" w:rsidR="00361EB7" w:rsidRPr="00D373E6" w:rsidRDefault="00361EB7" w:rsidP="00361EB7">
      <w:pPr>
        <w:suppressAutoHyphens/>
        <w:jc w:val="both"/>
        <w:rPr>
          <w:rFonts w:cstheme="minorHAnsi"/>
          <w:sz w:val="24"/>
          <w:szCs w:val="24"/>
        </w:rPr>
      </w:pPr>
      <w:r w:rsidRPr="00D373E6">
        <w:rPr>
          <w:rFonts w:cstheme="minorHAnsi"/>
          <w:sz w:val="24"/>
          <w:szCs w:val="24"/>
        </w:rPr>
        <w:t xml:space="preserve">Iz postupka dodjele će se isključiti projektni prijedlog ukoliko je Prijavitelj/Partner u jednoj od sljedećih situacija isključenja: </w:t>
      </w:r>
    </w:p>
    <w:p w14:paraId="0E4F097B" w14:textId="77777777" w:rsidR="00361EB7" w:rsidRPr="00361EB7" w:rsidRDefault="00361EB7" w:rsidP="00361EB7">
      <w:pPr>
        <w:suppressAutoHyphens/>
        <w:jc w:val="both"/>
        <w:rPr>
          <w:rFonts w:cstheme="minorHAnsi"/>
          <w:sz w:val="24"/>
          <w:szCs w:val="24"/>
        </w:rPr>
      </w:pPr>
      <w:r w:rsidRPr="00361EB7">
        <w:rPr>
          <w:rFonts w:cstheme="minorHAnsi"/>
          <w:sz w:val="24"/>
          <w:szCs w:val="24"/>
        </w:rPr>
        <w:t xml:space="preserve">Iz postupka dodjele će se isključiti projektni prijedlog ukoliko je Prijavitelj/Partner u jednoj od sljedećih situacija isključenja: </w:t>
      </w:r>
    </w:p>
    <w:tbl>
      <w:tblPr>
        <w:tblStyle w:val="TableGrid"/>
        <w:tblW w:w="0" w:type="auto"/>
        <w:tblInd w:w="0" w:type="dxa"/>
        <w:tblLook w:val="04A0" w:firstRow="1" w:lastRow="0" w:firstColumn="1" w:lastColumn="0" w:noHBand="0" w:noVBand="1"/>
      </w:tblPr>
      <w:tblGrid>
        <w:gridCol w:w="5026"/>
        <w:gridCol w:w="4034"/>
      </w:tblGrid>
      <w:tr w:rsidR="00361EB7" w:rsidRPr="00361EB7" w14:paraId="77938683" w14:textId="77777777" w:rsidTr="00FB70D1">
        <w:tc>
          <w:tcPr>
            <w:tcW w:w="5027" w:type="dxa"/>
            <w:shd w:val="clear" w:color="auto" w:fill="F4B083" w:themeFill="accent2" w:themeFillTint="99"/>
            <w:vAlign w:val="center"/>
          </w:tcPr>
          <w:p w14:paraId="092B7ED7" w14:textId="77777777" w:rsidR="00361EB7" w:rsidRPr="00361EB7" w:rsidRDefault="00361EB7" w:rsidP="00361EB7">
            <w:pPr>
              <w:spacing w:before="120" w:after="120" w:line="240" w:lineRule="auto"/>
              <w:jc w:val="center"/>
              <w:rPr>
                <w:rFonts w:cstheme="minorHAnsi"/>
                <w:b/>
                <w:bCs/>
                <w:sz w:val="24"/>
                <w:szCs w:val="24"/>
              </w:rPr>
            </w:pPr>
            <w:r w:rsidRPr="00361EB7">
              <w:rPr>
                <w:rFonts w:cstheme="minorHAnsi"/>
                <w:b/>
                <w:bCs/>
                <w:sz w:val="24"/>
                <w:szCs w:val="24"/>
              </w:rPr>
              <w:t>OSNOVA ISKLJUČENJA</w:t>
            </w:r>
          </w:p>
        </w:tc>
        <w:tc>
          <w:tcPr>
            <w:tcW w:w="4035" w:type="dxa"/>
            <w:shd w:val="clear" w:color="auto" w:fill="F4B083" w:themeFill="accent2" w:themeFillTint="99"/>
            <w:vAlign w:val="center"/>
          </w:tcPr>
          <w:p w14:paraId="64ADB8B3" w14:textId="77777777" w:rsidR="00361EB7" w:rsidRPr="00361EB7" w:rsidRDefault="00361EB7" w:rsidP="00361EB7">
            <w:pPr>
              <w:spacing w:before="120" w:after="120" w:line="240" w:lineRule="auto"/>
              <w:jc w:val="center"/>
              <w:rPr>
                <w:rFonts w:cstheme="minorHAnsi"/>
                <w:b/>
                <w:bCs/>
                <w:sz w:val="24"/>
                <w:szCs w:val="24"/>
              </w:rPr>
            </w:pPr>
            <w:r w:rsidRPr="00361EB7">
              <w:rPr>
                <w:rFonts w:cstheme="minorHAnsi"/>
                <w:b/>
                <w:bCs/>
                <w:sz w:val="24"/>
                <w:szCs w:val="24"/>
              </w:rPr>
              <w:t>NAČIN DOKAZIVANJA</w:t>
            </w:r>
          </w:p>
        </w:tc>
      </w:tr>
      <w:tr w:rsidR="00361EB7" w:rsidRPr="00361EB7" w14:paraId="06CE7BEF" w14:textId="77777777" w:rsidTr="00FB70D1">
        <w:tc>
          <w:tcPr>
            <w:tcW w:w="5027" w:type="dxa"/>
            <w:vAlign w:val="center"/>
          </w:tcPr>
          <w:p w14:paraId="719C4779" w14:textId="77777777" w:rsidR="00361EB7" w:rsidRPr="00361EB7" w:rsidRDefault="00361EB7" w:rsidP="00361EB7">
            <w:pPr>
              <w:suppressAutoHyphens/>
              <w:spacing w:line="240" w:lineRule="auto"/>
              <w:jc w:val="both"/>
              <w:rPr>
                <w:rFonts w:cstheme="minorHAnsi"/>
              </w:rPr>
            </w:pPr>
            <w:r w:rsidRPr="00361EB7">
              <w:rPr>
                <w:rFonts w:cstheme="minorHAnsi"/>
              </w:rPr>
              <w:t xml:space="preserve">Prijavitelj/Partner ne ispunjava obvezu isplate plaća zaposlenicima, plaćanja doprinosa za financiranje obveznih osiguranja (osobito zdravstveno ili mirovinsko) ili plaćanja poreza u skladu s propisima Republike Hrvatske kao države u kojoj je osnovan Prijavitelj/Partner i u kojoj će se provoditi Ugovor o dodjeli bespovratnih sredstava i u skladu s propisima države poslovnog </w:t>
            </w:r>
            <w:proofErr w:type="spellStart"/>
            <w:r w:rsidRPr="00361EB7">
              <w:rPr>
                <w:rFonts w:cstheme="minorHAnsi"/>
              </w:rPr>
              <w:t>nastana</w:t>
            </w:r>
            <w:proofErr w:type="spellEnd"/>
            <w:r w:rsidRPr="00361EB7">
              <w:rPr>
                <w:rFonts w:cstheme="minorHAnsi"/>
              </w:rPr>
              <w:t xml:space="preserve"> Prijavitelja/Partnera (ako oni nemaju poslovni </w:t>
            </w:r>
            <w:proofErr w:type="spellStart"/>
            <w:r w:rsidRPr="00361EB7">
              <w:rPr>
                <w:rFonts w:cstheme="minorHAnsi"/>
              </w:rPr>
              <w:t>nastan</w:t>
            </w:r>
            <w:proofErr w:type="spellEnd"/>
            <w:r w:rsidRPr="00361EB7">
              <w:rPr>
                <w:rFonts w:cstheme="minorHAnsi"/>
              </w:rPr>
              <w:t xml:space="preserve"> u Republici Hrvatskoj). Smatra se prihvatljivim da Prijavitelj/Korisnik nije udovoljio spomenutim obvezama, ako mu, sukladno posebnom propisu, plaćanje tih obveza nije dopušteno ili mu je odobrena odgoda plaćanja.</w:t>
            </w:r>
          </w:p>
        </w:tc>
        <w:tc>
          <w:tcPr>
            <w:tcW w:w="4035" w:type="dxa"/>
            <w:vAlign w:val="center"/>
          </w:tcPr>
          <w:p w14:paraId="136EDEC7" w14:textId="77777777" w:rsidR="00361EB7" w:rsidRPr="00361EB7" w:rsidRDefault="00361EB7" w:rsidP="00361EB7">
            <w:pPr>
              <w:suppressAutoHyphens/>
              <w:spacing w:line="240" w:lineRule="auto"/>
              <w:jc w:val="both"/>
              <w:rPr>
                <w:rFonts w:cstheme="minorHAnsi"/>
                <w:iCs/>
              </w:rPr>
            </w:pPr>
            <w:r w:rsidRPr="00361EB7">
              <w:rPr>
                <w:rFonts w:cstheme="minorHAnsi"/>
                <w:iCs/>
              </w:rPr>
              <w:t xml:space="preserve">Potvrda Porezne uprave o stanju javnog duga ili drugog nadležnog tijela u državi poslovnog </w:t>
            </w:r>
            <w:proofErr w:type="spellStart"/>
            <w:r w:rsidRPr="00361EB7">
              <w:rPr>
                <w:rFonts w:cstheme="minorHAnsi"/>
                <w:iCs/>
              </w:rPr>
              <w:t>nastana</w:t>
            </w:r>
            <w:proofErr w:type="spellEnd"/>
          </w:p>
          <w:p w14:paraId="1F652879" w14:textId="77777777" w:rsidR="00361EB7" w:rsidRPr="00361EB7" w:rsidRDefault="00361EB7" w:rsidP="00361EB7">
            <w:pPr>
              <w:suppressAutoHyphens/>
              <w:spacing w:line="240" w:lineRule="auto"/>
              <w:jc w:val="both"/>
              <w:rPr>
                <w:rFonts w:cstheme="minorHAnsi"/>
              </w:rPr>
            </w:pPr>
          </w:p>
        </w:tc>
      </w:tr>
      <w:tr w:rsidR="00361EB7" w:rsidRPr="00361EB7" w14:paraId="020C57B1" w14:textId="77777777" w:rsidTr="00FB70D1">
        <w:tc>
          <w:tcPr>
            <w:tcW w:w="5027" w:type="dxa"/>
            <w:vAlign w:val="center"/>
          </w:tcPr>
          <w:p w14:paraId="3A75285C" w14:textId="77777777" w:rsidR="00361EB7" w:rsidRPr="00361EB7" w:rsidRDefault="00361EB7" w:rsidP="00361EB7">
            <w:pPr>
              <w:suppressAutoHyphens/>
              <w:spacing w:line="240" w:lineRule="auto"/>
              <w:jc w:val="both"/>
              <w:rPr>
                <w:rFonts w:cstheme="minorHAnsi"/>
              </w:rPr>
            </w:pPr>
            <w:r w:rsidRPr="00361EB7">
              <w:rPr>
                <w:rFonts w:cstheme="minorHAnsi"/>
              </w:rPr>
              <w:t xml:space="preserve">U slučaju da je nad gospodarskim subjektom podnesen prijedlog za pokretanje predstečajnog ili stečajnog postupka; pokrenut prethodni postupak radi utvrđivanja uvjeta za otvaranje stečajnog postupka; otvoren predstečajni ili stečajni postupak; ispunjeni uvjeti za </w:t>
            </w:r>
            <w:r w:rsidRPr="00361EB7">
              <w:rPr>
                <w:rFonts w:cstheme="minorHAnsi"/>
              </w:rPr>
              <w:lastRenderedPageBreak/>
              <w:t xml:space="preserve">pokretanje ili je pokrenut postupak likvidacije (po službenoj dužnosti ili po prijedlogu); podnesen prijedlog za otvaranje postupka izvanredne uprave; da njime upravlja osoba postavljena od strane nadležnog suda ili je pokrenut postupak nadležnog suda za postavljanje osobe koja će njime upravljati; da je u nagodbi s vjerovnicima ili je pokrenut postupak nagodbe s vjerovnicima; da je obustavio poslovne djelatnosti ili da se nalazi u postupcima koji su, prema propisima države njegova sjedišta ili </w:t>
            </w:r>
            <w:proofErr w:type="spellStart"/>
            <w:r w:rsidRPr="00361EB7">
              <w:rPr>
                <w:rFonts w:cstheme="minorHAnsi"/>
              </w:rPr>
              <w:t>nastana</w:t>
            </w:r>
            <w:proofErr w:type="spellEnd"/>
            <w:r w:rsidRPr="00361EB7">
              <w:rPr>
                <w:rFonts w:cstheme="minorHAnsi"/>
              </w:rPr>
              <w:t xml:space="preserve"> kojima se regulira pitanje </w:t>
            </w:r>
            <w:proofErr w:type="spellStart"/>
            <w:r w:rsidRPr="00361EB7">
              <w:rPr>
                <w:rFonts w:cstheme="minorHAnsi"/>
              </w:rPr>
              <w:t>insolvencijskog</w:t>
            </w:r>
            <w:proofErr w:type="spellEnd"/>
            <w:r w:rsidRPr="00361EB7">
              <w:rPr>
                <w:rFonts w:cstheme="minorHAnsi"/>
              </w:rPr>
              <w:t xml:space="preserve"> prava, slični nekom od prethodno navedenih postupaka.</w:t>
            </w:r>
          </w:p>
        </w:tc>
        <w:tc>
          <w:tcPr>
            <w:tcW w:w="4035" w:type="dxa"/>
            <w:vAlign w:val="center"/>
          </w:tcPr>
          <w:p w14:paraId="3B9A3587"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 xml:space="preserve">Izjava Prijavitelja/Partnera </w:t>
            </w:r>
          </w:p>
          <w:p w14:paraId="2604494C" w14:textId="77777777" w:rsidR="00361EB7" w:rsidRPr="00361EB7" w:rsidRDefault="00361EB7" w:rsidP="00361EB7">
            <w:pPr>
              <w:suppressAutoHyphens/>
              <w:spacing w:line="240" w:lineRule="auto"/>
              <w:jc w:val="both"/>
              <w:rPr>
                <w:rFonts w:cstheme="minorHAnsi"/>
                <w:shd w:val="clear" w:color="auto" w:fill="FFFF00"/>
              </w:rPr>
            </w:pPr>
            <w:r w:rsidRPr="00361EB7">
              <w:rPr>
                <w:rFonts w:cstheme="minorHAnsi"/>
              </w:rPr>
              <w:t>Javni registri: e-Oglasna ploča za sudove</w:t>
            </w:r>
          </w:p>
          <w:p w14:paraId="0D7CA681" w14:textId="77777777" w:rsidR="00361EB7" w:rsidRPr="00361EB7" w:rsidRDefault="00361EB7" w:rsidP="00361EB7">
            <w:pPr>
              <w:suppressAutoHyphens/>
              <w:spacing w:line="240" w:lineRule="auto"/>
              <w:jc w:val="both"/>
              <w:rPr>
                <w:rFonts w:cstheme="minorHAnsi"/>
              </w:rPr>
            </w:pPr>
          </w:p>
        </w:tc>
      </w:tr>
      <w:tr w:rsidR="00361EB7" w:rsidRPr="00361EB7" w14:paraId="5B8E02F6" w14:textId="77777777" w:rsidTr="00FB70D1">
        <w:tc>
          <w:tcPr>
            <w:tcW w:w="5027" w:type="dxa"/>
            <w:vAlign w:val="center"/>
          </w:tcPr>
          <w:p w14:paraId="2E8CD6F3" w14:textId="77777777" w:rsidR="00361EB7" w:rsidRPr="00361EB7" w:rsidRDefault="00361EB7" w:rsidP="00361EB7">
            <w:pPr>
              <w:spacing w:line="240" w:lineRule="auto"/>
              <w:rPr>
                <w:rFonts w:cstheme="minorHAnsi"/>
              </w:rPr>
            </w:pPr>
            <w:r w:rsidRPr="00361EB7">
              <w:rPr>
                <w:rFonts w:cstheme="minorHAnsi"/>
              </w:rPr>
              <w:t xml:space="preserve">U slučaju ako je Prijavitelj ili osoba ovlaštena po zakonu za zastupanje Prijavitelja (osoba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p>
          <w:p w14:paraId="6C1F0437"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 sudjelovanje u zločinačkoj organizaciji, na temelju članka 328. (zločinačko udruženje) i članka 329. (počinjenje kaznenog djela u sastavu zločinačkog udruženja) iz Kaznenog zakona (NN, br. 125/11, 144/12, 56/15, 61/15, 101/17, 118/18, 126/19. 84/21, 114/22), članka 333. (udruživanje za počinjenje kaznenih djela) iz Kaznenog zakona (NN, br. 110/97, 27/98, 50/00, 129/00, 51/01, 111/03, 190/03, 105/04, 84/05, 71/06, 110/07, 152/08, 57/11, 77/11) </w:t>
            </w:r>
          </w:p>
          <w:p w14:paraId="7CF19DF3" w14:textId="77777777" w:rsidR="00361EB7" w:rsidRPr="00361EB7" w:rsidRDefault="00361EB7" w:rsidP="00361EB7">
            <w:pPr>
              <w:suppressAutoHyphens/>
              <w:spacing w:line="240" w:lineRule="auto"/>
              <w:ind w:left="786"/>
              <w:contextualSpacing/>
              <w:jc w:val="both"/>
              <w:rPr>
                <w:rFonts w:cstheme="minorHAnsi"/>
              </w:rPr>
            </w:pPr>
          </w:p>
          <w:p w14:paraId="5C4569BD"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6DF6583E" w14:textId="77777777" w:rsidR="00361EB7" w:rsidRPr="00361EB7" w:rsidRDefault="00361EB7" w:rsidP="00361EB7">
            <w:pPr>
              <w:suppressAutoHyphens/>
              <w:spacing w:line="240" w:lineRule="auto"/>
              <w:contextualSpacing/>
              <w:jc w:val="both"/>
              <w:rPr>
                <w:rFonts w:cstheme="minorHAnsi"/>
              </w:rPr>
            </w:pPr>
          </w:p>
          <w:p w14:paraId="1EA42189"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 </w:t>
            </w:r>
          </w:p>
          <w:p w14:paraId="19A74489" w14:textId="77777777" w:rsidR="00361EB7" w:rsidRPr="00361EB7" w:rsidRDefault="00361EB7" w:rsidP="00361EB7">
            <w:pPr>
              <w:suppressAutoHyphens/>
              <w:spacing w:line="240" w:lineRule="auto"/>
              <w:contextualSpacing/>
              <w:jc w:val="both"/>
              <w:rPr>
                <w:rFonts w:cstheme="minorHAnsi"/>
              </w:rPr>
            </w:pPr>
          </w:p>
          <w:p w14:paraId="40FD0559"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 i 143/12) </w:t>
            </w:r>
          </w:p>
          <w:p w14:paraId="45C30F68" w14:textId="77777777" w:rsidR="00361EB7" w:rsidRPr="00361EB7" w:rsidRDefault="00361EB7" w:rsidP="00361EB7">
            <w:pPr>
              <w:suppressAutoHyphens/>
              <w:spacing w:line="240" w:lineRule="auto"/>
              <w:ind w:left="786"/>
              <w:contextualSpacing/>
              <w:jc w:val="both"/>
              <w:rPr>
                <w:rFonts w:cstheme="minorHAnsi"/>
              </w:rPr>
            </w:pPr>
          </w:p>
          <w:p w14:paraId="6732EE15"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27E48BA6" w14:textId="77777777" w:rsidR="00361EB7" w:rsidRPr="00361EB7" w:rsidRDefault="00361EB7" w:rsidP="00361EB7">
            <w:pPr>
              <w:suppressAutoHyphens/>
              <w:spacing w:line="240" w:lineRule="auto"/>
              <w:ind w:left="786"/>
              <w:contextualSpacing/>
              <w:jc w:val="both"/>
              <w:rPr>
                <w:rFonts w:cstheme="minorHAnsi"/>
              </w:rPr>
            </w:pPr>
          </w:p>
          <w:p w14:paraId="05CE27FD"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poreza i drugih davanja) iz Kaznenog zakona (NN, br. 110/97, 27/98, 50/00, 129/00, 51/01, 111/03, 190/03, 105/04, 84/05, 71/06, 110/07, 152/08, 57/11, 77/11 i 143/12)</w:t>
            </w:r>
          </w:p>
        </w:tc>
        <w:tc>
          <w:tcPr>
            <w:tcW w:w="4035" w:type="dxa"/>
            <w:vAlign w:val="center"/>
          </w:tcPr>
          <w:p w14:paraId="50E0CFBA"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Izjava Prijavitelja/Partnera</w:t>
            </w:r>
          </w:p>
        </w:tc>
      </w:tr>
      <w:tr w:rsidR="00361EB7" w:rsidRPr="00361EB7" w14:paraId="27EA2ED6" w14:textId="77777777" w:rsidTr="00FB70D1">
        <w:trPr>
          <w:trHeight w:val="1101"/>
        </w:trPr>
        <w:tc>
          <w:tcPr>
            <w:tcW w:w="5027" w:type="dxa"/>
            <w:vAlign w:val="center"/>
          </w:tcPr>
          <w:p w14:paraId="721482E3" w14:textId="77777777" w:rsidR="00361EB7" w:rsidRPr="00361EB7" w:rsidRDefault="00361EB7" w:rsidP="00361EB7">
            <w:pPr>
              <w:suppressAutoHyphens/>
              <w:spacing w:line="240" w:lineRule="auto"/>
              <w:jc w:val="both"/>
              <w:rPr>
                <w:rFonts w:cstheme="minorHAnsi"/>
              </w:rPr>
            </w:pPr>
            <w:r w:rsidRPr="00361EB7">
              <w:rPr>
                <w:rFonts w:cstheme="minorHAnsi"/>
              </w:rPr>
              <w:t>Prijavitelj/Partner je dostavio lažne podatke pri predočavanju dokaza sukladno gore navedenim točkama.</w:t>
            </w:r>
          </w:p>
        </w:tc>
        <w:tc>
          <w:tcPr>
            <w:tcW w:w="4035" w:type="dxa"/>
            <w:vAlign w:val="center"/>
          </w:tcPr>
          <w:p w14:paraId="17EE3168"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294FFD66" w14:textId="77777777" w:rsidTr="00FB70D1">
        <w:tc>
          <w:tcPr>
            <w:tcW w:w="5027" w:type="dxa"/>
            <w:vAlign w:val="center"/>
          </w:tcPr>
          <w:p w14:paraId="5E13893A" w14:textId="77777777" w:rsidR="00361EB7" w:rsidRPr="00361EB7" w:rsidRDefault="00361EB7" w:rsidP="00361EB7">
            <w:pPr>
              <w:suppressAutoHyphens/>
              <w:spacing w:line="240" w:lineRule="auto"/>
              <w:jc w:val="both"/>
              <w:rPr>
                <w:rFonts w:cstheme="minorHAnsi"/>
              </w:rPr>
            </w:pPr>
            <w:r w:rsidRPr="00361EB7">
              <w:rPr>
                <w:rFonts w:cstheme="minorHAnsi"/>
              </w:rPr>
              <w:t xml:space="preserve">Prijavitelj/Partner je </w:t>
            </w:r>
            <w:bookmarkStart w:id="2" w:name="_Hlk131745040"/>
            <w:r w:rsidRPr="00361EB7">
              <w:rPr>
                <w:rFonts w:cstheme="minorHAnsi"/>
              </w:rPr>
              <w:t xml:space="preserve">pokušao pribaviti povjerljive informacije ili na nepropisan način utjecati na postupak odabira tijekom ovog ili prijašnjih </w:t>
            </w:r>
            <w:bookmarkEnd w:id="2"/>
            <w:r w:rsidRPr="00361EB7">
              <w:rPr>
                <w:rFonts w:cstheme="minorHAnsi"/>
              </w:rPr>
              <w:t>PDP-ova</w:t>
            </w:r>
          </w:p>
        </w:tc>
        <w:tc>
          <w:tcPr>
            <w:tcW w:w="4035" w:type="dxa"/>
            <w:vAlign w:val="center"/>
          </w:tcPr>
          <w:p w14:paraId="2E846CD5"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792EFF3D" w14:textId="77777777" w:rsidTr="00FB70D1">
        <w:tc>
          <w:tcPr>
            <w:tcW w:w="5027" w:type="dxa"/>
            <w:vAlign w:val="center"/>
          </w:tcPr>
          <w:p w14:paraId="7CB8F99C" w14:textId="77777777" w:rsidR="00361EB7" w:rsidRPr="00361EB7" w:rsidRDefault="00361EB7" w:rsidP="00361EB7">
            <w:pPr>
              <w:suppressAutoHyphens/>
              <w:spacing w:line="240" w:lineRule="auto"/>
              <w:jc w:val="both"/>
              <w:rPr>
                <w:rFonts w:cstheme="minorHAnsi"/>
              </w:rPr>
            </w:pPr>
            <w:r w:rsidRPr="00361EB7">
              <w:rPr>
                <w:rFonts w:cstheme="minorHAnsi"/>
              </w:rPr>
              <w:t>Prijavitelj/Partner nije izvršio povrat sredstava prema odluci nadležnog tijela računajući od:</w:t>
            </w:r>
          </w:p>
          <w:p w14:paraId="5F4CC16B" w14:textId="77777777" w:rsidR="00361EB7" w:rsidRPr="00361EB7" w:rsidRDefault="00361EB7" w:rsidP="00361EB7">
            <w:pPr>
              <w:suppressAutoHyphens/>
              <w:spacing w:line="240" w:lineRule="auto"/>
              <w:jc w:val="both"/>
              <w:rPr>
                <w:rFonts w:cstheme="minorHAnsi"/>
              </w:rPr>
            </w:pPr>
            <w:r w:rsidRPr="00361EB7">
              <w:rPr>
                <w:rFonts w:cstheme="minorHAnsi"/>
              </w:rPr>
              <w:t>• zaprimanja rješenja Upravljačkog tijela kojim se odbija prigovor Korisnika na Odluku o nepravilnosti kojom je utvrđen povrat sredstava, ili</w:t>
            </w:r>
          </w:p>
          <w:p w14:paraId="1EA50781"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 od proteka roka za povrat sredstava na temelju raskida Ugovora o dodjeli bespovratnih po bilo kojoj osnovi, ili</w:t>
            </w:r>
          </w:p>
          <w:p w14:paraId="3C1DAD57" w14:textId="77777777" w:rsidR="00361EB7" w:rsidRPr="00361EB7" w:rsidRDefault="00361EB7" w:rsidP="00361EB7">
            <w:pPr>
              <w:suppressAutoHyphens/>
              <w:spacing w:line="240" w:lineRule="auto"/>
              <w:jc w:val="both"/>
              <w:rPr>
                <w:rFonts w:cstheme="minorHAnsi"/>
              </w:rPr>
            </w:pPr>
            <w:r w:rsidRPr="00361EB7">
              <w:rPr>
                <w:rFonts w:cstheme="minorHAnsi"/>
              </w:rPr>
              <w:t>• od proteka roka za povrat sredstava na temelju obavijesti o obvezi povrata predujma</w:t>
            </w:r>
          </w:p>
        </w:tc>
        <w:tc>
          <w:tcPr>
            <w:tcW w:w="4035" w:type="dxa"/>
            <w:vAlign w:val="center"/>
          </w:tcPr>
          <w:p w14:paraId="598FB566"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Izjava Prijavitelja/Partnera</w:t>
            </w:r>
          </w:p>
        </w:tc>
      </w:tr>
      <w:tr w:rsidR="00361EB7" w:rsidRPr="00361EB7" w14:paraId="1BB2D0F5" w14:textId="77777777" w:rsidTr="00FB70D1">
        <w:tc>
          <w:tcPr>
            <w:tcW w:w="5027" w:type="dxa"/>
            <w:tcBorders>
              <w:bottom w:val="single" w:sz="4" w:space="0" w:color="auto"/>
            </w:tcBorders>
            <w:shd w:val="clear" w:color="auto" w:fill="auto"/>
            <w:vAlign w:val="center"/>
          </w:tcPr>
          <w:p w14:paraId="1B02CAA9" w14:textId="77777777" w:rsidR="00361EB7" w:rsidRPr="00361EB7" w:rsidRDefault="00361EB7" w:rsidP="00361EB7">
            <w:pPr>
              <w:suppressAutoHyphens/>
              <w:spacing w:line="240" w:lineRule="auto"/>
              <w:jc w:val="both"/>
              <w:rPr>
                <w:rFonts w:cstheme="minorHAnsi"/>
              </w:rPr>
            </w:pPr>
            <w:r w:rsidRPr="00361EB7">
              <w:rPr>
                <w:rFonts w:cstheme="minorHAnsi"/>
              </w:rPr>
              <w:t>Prijavitelj/Partner koji je u sukobu interesa u predmetnom postupku dodjele bespovratnih sredstava</w:t>
            </w:r>
          </w:p>
        </w:tc>
        <w:tc>
          <w:tcPr>
            <w:tcW w:w="4035" w:type="dxa"/>
            <w:tcBorders>
              <w:bottom w:val="single" w:sz="4" w:space="0" w:color="auto"/>
            </w:tcBorders>
            <w:shd w:val="clear" w:color="auto" w:fill="auto"/>
            <w:vAlign w:val="center"/>
          </w:tcPr>
          <w:p w14:paraId="552586D7"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61F6B3F4" w14:textId="77777777" w:rsidTr="00FB70D1">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3606FB3B" w14:textId="77777777" w:rsidR="00361EB7" w:rsidRPr="00361EB7" w:rsidRDefault="00361EB7" w:rsidP="00361EB7">
            <w:pPr>
              <w:suppressAutoHyphens/>
              <w:spacing w:line="240" w:lineRule="auto"/>
              <w:jc w:val="both"/>
              <w:rPr>
                <w:rFonts w:cstheme="minorHAnsi"/>
              </w:rPr>
            </w:pPr>
            <w:r w:rsidRPr="00361EB7">
              <w:rPr>
                <w:rFonts w:cstheme="minorHAnsi"/>
              </w:rPr>
              <w:t xml:space="preserve">Prijavitelj/Partner nije registriran za djelatnost koja je tražena PDP-om </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44E0D110" w14:textId="77777777" w:rsidR="00361EB7" w:rsidRPr="00361EB7" w:rsidRDefault="00361EB7" w:rsidP="00361EB7">
            <w:pPr>
              <w:suppressAutoHyphens/>
              <w:spacing w:line="240" w:lineRule="auto"/>
              <w:jc w:val="both"/>
              <w:rPr>
                <w:rFonts w:cstheme="minorHAnsi"/>
              </w:rPr>
            </w:pPr>
          </w:p>
          <w:p w14:paraId="7FC1295A" w14:textId="77777777" w:rsidR="00361EB7" w:rsidRPr="00361EB7" w:rsidRDefault="00361EB7" w:rsidP="00361EB7">
            <w:pPr>
              <w:suppressAutoHyphens/>
              <w:spacing w:line="240" w:lineRule="auto"/>
              <w:jc w:val="both"/>
              <w:rPr>
                <w:rFonts w:cstheme="minorHAnsi"/>
              </w:rPr>
            </w:pPr>
            <w:r w:rsidRPr="00361EB7">
              <w:rPr>
                <w:rFonts w:cstheme="minorHAnsi"/>
              </w:rPr>
              <w:t xml:space="preserve">Javni registri sukladno točkama 2.6.1. za Prijavitelje i 2.6.2 za Partnere. </w:t>
            </w:r>
          </w:p>
          <w:p w14:paraId="305C5A08" w14:textId="77777777" w:rsidR="00361EB7" w:rsidRPr="00361EB7" w:rsidRDefault="00361EB7" w:rsidP="00361EB7">
            <w:pPr>
              <w:suppressAutoHyphens/>
              <w:spacing w:line="240" w:lineRule="auto"/>
              <w:jc w:val="both"/>
              <w:rPr>
                <w:rFonts w:cstheme="minorHAnsi"/>
              </w:rPr>
            </w:pPr>
          </w:p>
        </w:tc>
      </w:tr>
      <w:tr w:rsidR="00361EB7" w:rsidRPr="00361EB7" w14:paraId="55841022" w14:textId="77777777" w:rsidTr="00FB70D1">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506289AE" w14:textId="77777777" w:rsidR="00361EB7" w:rsidRPr="00361EB7" w:rsidRDefault="00361EB7" w:rsidP="00361EB7">
            <w:pPr>
              <w:suppressAutoHyphens/>
              <w:spacing w:line="240" w:lineRule="auto"/>
              <w:jc w:val="both"/>
              <w:rPr>
                <w:rFonts w:cstheme="minorHAnsi"/>
              </w:rPr>
            </w:pPr>
            <w:r w:rsidRPr="00361EB7">
              <w:rPr>
                <w:rFonts w:cstheme="minorHAnsi"/>
              </w:rPr>
              <w:t>Partneri - udruge koje do datuma dostave projektnih prijedloga nisu uskladile svoje statute sa Zakonom o udrugama (NN 74/14, 70/17, 98/19, 151/22), niti su podnijele zahtjev za upis promjena nadležnom uredu državne uprave</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6F48C395" w14:textId="77777777" w:rsidR="00361EB7" w:rsidRPr="00361EB7" w:rsidRDefault="00361EB7" w:rsidP="00361EB7">
            <w:pPr>
              <w:suppressAutoHyphens/>
              <w:spacing w:line="240" w:lineRule="auto"/>
              <w:jc w:val="both"/>
              <w:rPr>
                <w:rFonts w:cstheme="minorHAnsi"/>
              </w:rPr>
            </w:pPr>
            <w:r w:rsidRPr="00361EB7">
              <w:rPr>
                <w:rFonts w:cstheme="minorHAnsi"/>
              </w:rPr>
              <w:t>Registar udruga</w:t>
            </w:r>
          </w:p>
        </w:tc>
      </w:tr>
    </w:tbl>
    <w:p w14:paraId="4575059E" w14:textId="77777777" w:rsidR="00361EB7" w:rsidRDefault="00361EB7" w:rsidP="00361EB7">
      <w:pPr>
        <w:jc w:val="both"/>
        <w:rPr>
          <w:rFonts w:cstheme="minorHAnsi"/>
          <w:b/>
          <w:bCs/>
          <w:sz w:val="24"/>
          <w:szCs w:val="24"/>
        </w:rPr>
      </w:pPr>
    </w:p>
    <w:p w14:paraId="2E2B2D4E" w14:textId="2F0A9EA6" w:rsidR="00361EB7" w:rsidRPr="00361EB7" w:rsidRDefault="00361EB7" w:rsidP="00361EB7">
      <w:pPr>
        <w:jc w:val="both"/>
        <w:rPr>
          <w:rFonts w:cstheme="minorHAnsi"/>
          <w:b/>
          <w:bCs/>
          <w:sz w:val="24"/>
          <w:szCs w:val="24"/>
        </w:rPr>
      </w:pPr>
      <w:r w:rsidRPr="00361EB7">
        <w:rPr>
          <w:rFonts w:cstheme="minorHAnsi"/>
          <w:b/>
          <w:bCs/>
          <w:sz w:val="24"/>
          <w:szCs w:val="24"/>
        </w:rPr>
        <w:t>mijenja se i glasi:</w:t>
      </w:r>
    </w:p>
    <w:p w14:paraId="4975C2A8" w14:textId="45A9F7AD" w:rsidR="00361EB7" w:rsidRPr="00361EB7" w:rsidRDefault="00361EB7" w:rsidP="00361EB7">
      <w:pPr>
        <w:suppressAutoHyphens/>
        <w:jc w:val="both"/>
        <w:rPr>
          <w:rFonts w:cstheme="minorHAnsi"/>
          <w:sz w:val="24"/>
          <w:szCs w:val="24"/>
        </w:rPr>
      </w:pPr>
      <w:bookmarkStart w:id="3" w:name="bookmark0"/>
      <w:bookmarkStart w:id="4" w:name="bookmark1"/>
      <w:bookmarkStart w:id="5" w:name="bookmark3"/>
      <w:bookmarkStart w:id="6" w:name="bookmark4"/>
      <w:bookmarkStart w:id="7" w:name="bookmark8"/>
      <w:bookmarkEnd w:id="3"/>
      <w:bookmarkEnd w:id="4"/>
      <w:bookmarkEnd w:id="5"/>
      <w:bookmarkEnd w:id="6"/>
      <w:bookmarkEnd w:id="7"/>
      <w:r w:rsidRPr="00361EB7">
        <w:rPr>
          <w:rFonts w:cstheme="minorHAnsi"/>
          <w:sz w:val="24"/>
          <w:szCs w:val="24"/>
        </w:rPr>
        <w:t xml:space="preserve">Iz postupka dodjele će se isključiti projektni prijedlog ukoliko je Prijavitelj/Partner u jednoj od sljedećih situacija isključenja: </w:t>
      </w:r>
    </w:p>
    <w:tbl>
      <w:tblPr>
        <w:tblStyle w:val="TableGrid"/>
        <w:tblW w:w="0" w:type="auto"/>
        <w:tblInd w:w="0" w:type="dxa"/>
        <w:tblLook w:val="04A0" w:firstRow="1" w:lastRow="0" w:firstColumn="1" w:lastColumn="0" w:noHBand="0" w:noVBand="1"/>
      </w:tblPr>
      <w:tblGrid>
        <w:gridCol w:w="5026"/>
        <w:gridCol w:w="4034"/>
      </w:tblGrid>
      <w:tr w:rsidR="00361EB7" w:rsidRPr="00361EB7" w14:paraId="21ACDB7B" w14:textId="77777777" w:rsidTr="00FB70D1">
        <w:tc>
          <w:tcPr>
            <w:tcW w:w="5027" w:type="dxa"/>
            <w:shd w:val="clear" w:color="auto" w:fill="F4B083" w:themeFill="accent2" w:themeFillTint="99"/>
            <w:vAlign w:val="center"/>
          </w:tcPr>
          <w:p w14:paraId="45B97F26" w14:textId="77777777" w:rsidR="00361EB7" w:rsidRPr="00361EB7" w:rsidRDefault="00361EB7" w:rsidP="00361EB7">
            <w:pPr>
              <w:spacing w:before="120" w:after="120" w:line="240" w:lineRule="auto"/>
              <w:jc w:val="center"/>
              <w:rPr>
                <w:rFonts w:cstheme="minorHAnsi"/>
                <w:b/>
                <w:bCs/>
                <w:sz w:val="24"/>
                <w:szCs w:val="24"/>
              </w:rPr>
            </w:pPr>
            <w:r w:rsidRPr="00361EB7">
              <w:rPr>
                <w:rFonts w:cstheme="minorHAnsi"/>
                <w:b/>
                <w:bCs/>
                <w:sz w:val="24"/>
                <w:szCs w:val="24"/>
              </w:rPr>
              <w:t>OSNOVA ISKLJUČENJA</w:t>
            </w:r>
          </w:p>
        </w:tc>
        <w:tc>
          <w:tcPr>
            <w:tcW w:w="4035" w:type="dxa"/>
            <w:shd w:val="clear" w:color="auto" w:fill="F4B083" w:themeFill="accent2" w:themeFillTint="99"/>
            <w:vAlign w:val="center"/>
          </w:tcPr>
          <w:p w14:paraId="784F9FA8" w14:textId="77777777" w:rsidR="00361EB7" w:rsidRPr="00361EB7" w:rsidRDefault="00361EB7" w:rsidP="00361EB7">
            <w:pPr>
              <w:spacing w:before="120" w:after="120" w:line="240" w:lineRule="auto"/>
              <w:jc w:val="center"/>
              <w:rPr>
                <w:rFonts w:cstheme="minorHAnsi"/>
                <w:b/>
                <w:bCs/>
                <w:sz w:val="24"/>
                <w:szCs w:val="24"/>
              </w:rPr>
            </w:pPr>
            <w:r w:rsidRPr="00361EB7">
              <w:rPr>
                <w:rFonts w:cstheme="minorHAnsi"/>
                <w:b/>
                <w:bCs/>
                <w:sz w:val="24"/>
                <w:szCs w:val="24"/>
              </w:rPr>
              <w:t>NAČIN DOKAZIVANJA</w:t>
            </w:r>
          </w:p>
        </w:tc>
      </w:tr>
      <w:tr w:rsidR="00361EB7" w:rsidRPr="00361EB7" w14:paraId="5341EA9E" w14:textId="77777777" w:rsidTr="00FB70D1">
        <w:tc>
          <w:tcPr>
            <w:tcW w:w="5027" w:type="dxa"/>
            <w:vAlign w:val="center"/>
          </w:tcPr>
          <w:p w14:paraId="7F6CC370" w14:textId="77777777" w:rsidR="00361EB7" w:rsidRPr="00361EB7" w:rsidRDefault="00361EB7" w:rsidP="00361EB7">
            <w:pPr>
              <w:suppressAutoHyphens/>
              <w:spacing w:line="240" w:lineRule="auto"/>
              <w:jc w:val="both"/>
              <w:rPr>
                <w:rFonts w:cstheme="minorHAnsi"/>
              </w:rPr>
            </w:pPr>
            <w:r w:rsidRPr="00361EB7">
              <w:rPr>
                <w:rFonts w:cstheme="minorHAnsi"/>
              </w:rPr>
              <w:t xml:space="preserve">Prijavitelj/Partner ne ispunjava obvezu isplate plaća zaposlenicima, plaćanja doprinosa za financiranje obveznih osiguranja (osobito zdravstveno ili mirovinsko) ili plaćanja poreza u skladu s propisima Republike Hrvatske kao države u kojoj je osnovan Prijavitelj/Partner i u kojoj će se provoditi Ugovor o dodjeli bespovratnih sredstava i u skladu s propisima države poslovnog </w:t>
            </w:r>
            <w:proofErr w:type="spellStart"/>
            <w:r w:rsidRPr="00361EB7">
              <w:rPr>
                <w:rFonts w:cstheme="minorHAnsi"/>
              </w:rPr>
              <w:t>nastana</w:t>
            </w:r>
            <w:proofErr w:type="spellEnd"/>
            <w:r w:rsidRPr="00361EB7">
              <w:rPr>
                <w:rFonts w:cstheme="minorHAnsi"/>
              </w:rPr>
              <w:t xml:space="preserve"> Prijavitelja/Partnera (ako oni nemaju poslovni </w:t>
            </w:r>
            <w:proofErr w:type="spellStart"/>
            <w:r w:rsidRPr="00361EB7">
              <w:rPr>
                <w:rFonts w:cstheme="minorHAnsi"/>
              </w:rPr>
              <w:t>nastan</w:t>
            </w:r>
            <w:proofErr w:type="spellEnd"/>
            <w:r w:rsidRPr="00361EB7">
              <w:rPr>
                <w:rFonts w:cstheme="minorHAnsi"/>
              </w:rPr>
              <w:t xml:space="preserve"> u Republici Hrvatskoj). Smatra se prihvatljivim da Prijavitelj/Korisnik nije udovoljio spomenutim obvezama, ako mu, sukladno posebnom propisu, plaćanje tih obveza nije dopušteno ili mu je odobrena odgoda plaćanja.</w:t>
            </w:r>
          </w:p>
        </w:tc>
        <w:tc>
          <w:tcPr>
            <w:tcW w:w="4035" w:type="dxa"/>
            <w:vAlign w:val="center"/>
          </w:tcPr>
          <w:p w14:paraId="0A92A404" w14:textId="77777777" w:rsidR="00361EB7" w:rsidRPr="00361EB7" w:rsidRDefault="00361EB7" w:rsidP="00361EB7">
            <w:pPr>
              <w:suppressAutoHyphens/>
              <w:spacing w:line="240" w:lineRule="auto"/>
              <w:jc w:val="both"/>
              <w:rPr>
                <w:rFonts w:cstheme="minorHAnsi"/>
                <w:iCs/>
              </w:rPr>
            </w:pPr>
            <w:r w:rsidRPr="00361EB7">
              <w:rPr>
                <w:rFonts w:cstheme="minorHAnsi"/>
                <w:iCs/>
              </w:rPr>
              <w:t xml:space="preserve">Potvrda Porezne uprave o stanju javnog duga ili drugog nadležnog tijela u državi poslovnog </w:t>
            </w:r>
            <w:proofErr w:type="spellStart"/>
            <w:r w:rsidRPr="00361EB7">
              <w:rPr>
                <w:rFonts w:cstheme="minorHAnsi"/>
                <w:iCs/>
              </w:rPr>
              <w:t>nastana</w:t>
            </w:r>
            <w:proofErr w:type="spellEnd"/>
          </w:p>
          <w:p w14:paraId="36AAD88A" w14:textId="77777777" w:rsidR="00361EB7" w:rsidRPr="00361EB7" w:rsidRDefault="00361EB7" w:rsidP="00361EB7">
            <w:pPr>
              <w:suppressAutoHyphens/>
              <w:spacing w:line="240" w:lineRule="auto"/>
              <w:jc w:val="both"/>
              <w:rPr>
                <w:rFonts w:cstheme="minorHAnsi"/>
              </w:rPr>
            </w:pPr>
          </w:p>
        </w:tc>
      </w:tr>
      <w:tr w:rsidR="00361EB7" w:rsidRPr="00361EB7" w14:paraId="03D66531" w14:textId="77777777" w:rsidTr="00FB70D1">
        <w:tc>
          <w:tcPr>
            <w:tcW w:w="5027" w:type="dxa"/>
            <w:vAlign w:val="center"/>
          </w:tcPr>
          <w:p w14:paraId="22D289FD" w14:textId="77777777" w:rsidR="00361EB7" w:rsidRPr="00361EB7" w:rsidRDefault="00361EB7" w:rsidP="00361EB7">
            <w:pPr>
              <w:suppressAutoHyphens/>
              <w:spacing w:line="240" w:lineRule="auto"/>
              <w:jc w:val="both"/>
              <w:rPr>
                <w:rFonts w:cstheme="minorHAnsi"/>
              </w:rPr>
            </w:pPr>
            <w:r w:rsidRPr="00361EB7">
              <w:rPr>
                <w:rFonts w:cstheme="minorHAnsi"/>
              </w:rPr>
              <w:t xml:space="preserve">U slučaju da je nad gospodarskim subjektom podnesen prijedlog za pokretanje predstečajnog ili stečajnog postupka; pokrenut prethodni postupak radi utvrđivanja uvjeta za otvaranje stečajnog postupka; otvoren predstečajni ili stečajni postupak; ispunjeni uvjeti za pokretanje ili je pokrenut postupak likvidacije (po službenoj dužnosti ili po prijedlogu); podnesen prijedlog za otvaranje postupka izvanredne uprave; da njime upravlja osoba postavljena od strane nadležnog suda ili je pokrenut postupak nadležnog suda za postavljanje osobe koja će njime upravljati; da je u nagodbi s vjerovnicima ili je pokrenut postupak nagodbe s vjerovnicima; da je obustavio poslovne djelatnosti ili da se nalazi u postupcima koji su, prema propisima države </w:t>
            </w:r>
            <w:r w:rsidRPr="00361EB7">
              <w:rPr>
                <w:rFonts w:cstheme="minorHAnsi"/>
              </w:rPr>
              <w:lastRenderedPageBreak/>
              <w:t xml:space="preserve">njegova sjedišta ili </w:t>
            </w:r>
            <w:proofErr w:type="spellStart"/>
            <w:r w:rsidRPr="00361EB7">
              <w:rPr>
                <w:rFonts w:cstheme="minorHAnsi"/>
              </w:rPr>
              <w:t>nastana</w:t>
            </w:r>
            <w:proofErr w:type="spellEnd"/>
            <w:r w:rsidRPr="00361EB7">
              <w:rPr>
                <w:rFonts w:cstheme="minorHAnsi"/>
              </w:rPr>
              <w:t xml:space="preserve"> kojima se regulira pitanje </w:t>
            </w:r>
            <w:proofErr w:type="spellStart"/>
            <w:r w:rsidRPr="00361EB7">
              <w:rPr>
                <w:rFonts w:cstheme="minorHAnsi"/>
              </w:rPr>
              <w:t>insolvencijskog</w:t>
            </w:r>
            <w:proofErr w:type="spellEnd"/>
            <w:r w:rsidRPr="00361EB7">
              <w:rPr>
                <w:rFonts w:cstheme="minorHAnsi"/>
              </w:rPr>
              <w:t xml:space="preserve"> prava, slični nekom od prethodno navedenih postupaka.</w:t>
            </w:r>
          </w:p>
        </w:tc>
        <w:tc>
          <w:tcPr>
            <w:tcW w:w="4035" w:type="dxa"/>
            <w:vAlign w:val="center"/>
          </w:tcPr>
          <w:p w14:paraId="0204798B"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 xml:space="preserve">Izjava Prijavitelja/Partnera </w:t>
            </w:r>
          </w:p>
          <w:p w14:paraId="00B779AE" w14:textId="77777777" w:rsidR="00361EB7" w:rsidRPr="00361EB7" w:rsidRDefault="00361EB7" w:rsidP="00361EB7">
            <w:pPr>
              <w:suppressAutoHyphens/>
              <w:spacing w:line="240" w:lineRule="auto"/>
              <w:jc w:val="both"/>
              <w:rPr>
                <w:rFonts w:cstheme="minorHAnsi"/>
                <w:shd w:val="clear" w:color="auto" w:fill="FFFF00"/>
              </w:rPr>
            </w:pPr>
            <w:r w:rsidRPr="00361EB7">
              <w:rPr>
                <w:rFonts w:cstheme="minorHAnsi"/>
              </w:rPr>
              <w:t>Javni registri: e-Oglasna ploča za sudove</w:t>
            </w:r>
          </w:p>
          <w:p w14:paraId="19C3B3D3" w14:textId="77777777" w:rsidR="00361EB7" w:rsidRPr="00361EB7" w:rsidRDefault="00361EB7" w:rsidP="00361EB7">
            <w:pPr>
              <w:suppressAutoHyphens/>
              <w:spacing w:line="240" w:lineRule="auto"/>
              <w:jc w:val="both"/>
              <w:rPr>
                <w:rFonts w:cstheme="minorHAnsi"/>
              </w:rPr>
            </w:pPr>
          </w:p>
        </w:tc>
      </w:tr>
      <w:tr w:rsidR="00361EB7" w:rsidRPr="00361EB7" w14:paraId="4D30478D" w14:textId="77777777" w:rsidTr="00FB70D1">
        <w:tc>
          <w:tcPr>
            <w:tcW w:w="5027" w:type="dxa"/>
            <w:vAlign w:val="center"/>
          </w:tcPr>
          <w:p w14:paraId="52F4AA59" w14:textId="77777777" w:rsidR="00361EB7" w:rsidRPr="00361EB7" w:rsidRDefault="00361EB7" w:rsidP="00361EB7">
            <w:pPr>
              <w:spacing w:line="240" w:lineRule="auto"/>
              <w:rPr>
                <w:rFonts w:cstheme="minorHAnsi"/>
              </w:rPr>
            </w:pPr>
            <w:r w:rsidRPr="00361EB7">
              <w:rPr>
                <w:rFonts w:cstheme="minorHAnsi"/>
              </w:rPr>
              <w:t xml:space="preserve">U slučaju ako je Prijavitelj ili osoba ovlaštena po zakonu za zastupanje Prijavitelja (osoba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p>
          <w:p w14:paraId="0F380869"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 sudjelovanje u zločinačkoj organizaciji, na temelju članka 328. (zločinačko udruženje) i članka 329. (počinjenje kaznenog djela u sastavu zločinačkog udruženja) iz Kaznenog zakona (NN, br. 125/11, 144/12, 56/15, 61/15, 101/17, 118/18, 126/19. 84/21, 114/22), članka 333. (udruživanje za počinjenje kaznenih djela) iz Kaznenog zakona (NN, br. 110/97, 27/98, 50/00, 129/00, 51/01, 111/03, 190/03, 105/04, 84/05, 71/06, 110/07, 152/08, 57/11, 77/11) </w:t>
            </w:r>
          </w:p>
          <w:p w14:paraId="73A7554B" w14:textId="77777777" w:rsidR="00361EB7" w:rsidRPr="00361EB7" w:rsidRDefault="00361EB7" w:rsidP="00361EB7">
            <w:pPr>
              <w:suppressAutoHyphens/>
              <w:spacing w:line="240" w:lineRule="auto"/>
              <w:ind w:left="786"/>
              <w:contextualSpacing/>
              <w:jc w:val="both"/>
              <w:rPr>
                <w:rFonts w:cstheme="minorHAnsi"/>
              </w:rPr>
            </w:pPr>
          </w:p>
          <w:p w14:paraId="75802471"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5002E92D" w14:textId="77777777" w:rsidR="00361EB7" w:rsidRPr="00361EB7" w:rsidRDefault="00361EB7" w:rsidP="00361EB7">
            <w:pPr>
              <w:suppressAutoHyphens/>
              <w:spacing w:line="240" w:lineRule="auto"/>
              <w:contextualSpacing/>
              <w:jc w:val="both"/>
              <w:rPr>
                <w:rFonts w:cstheme="minorHAnsi"/>
              </w:rPr>
            </w:pPr>
          </w:p>
          <w:p w14:paraId="1AB8535E"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 </w:t>
            </w:r>
          </w:p>
          <w:p w14:paraId="2C6305D5" w14:textId="77777777" w:rsidR="00361EB7" w:rsidRPr="00361EB7" w:rsidRDefault="00361EB7" w:rsidP="00361EB7">
            <w:pPr>
              <w:suppressAutoHyphens/>
              <w:spacing w:line="240" w:lineRule="auto"/>
              <w:contextualSpacing/>
              <w:jc w:val="both"/>
              <w:rPr>
                <w:rFonts w:cstheme="minorHAnsi"/>
              </w:rPr>
            </w:pPr>
          </w:p>
          <w:p w14:paraId="6DE37732"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xml:space="preserve">• 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 i 143/12) </w:t>
            </w:r>
          </w:p>
          <w:p w14:paraId="4A60A98E" w14:textId="77777777" w:rsidR="00361EB7" w:rsidRPr="00361EB7" w:rsidRDefault="00361EB7" w:rsidP="00361EB7">
            <w:pPr>
              <w:suppressAutoHyphens/>
              <w:spacing w:line="240" w:lineRule="auto"/>
              <w:ind w:left="786"/>
              <w:contextualSpacing/>
              <w:jc w:val="both"/>
              <w:rPr>
                <w:rFonts w:cstheme="minorHAnsi"/>
              </w:rPr>
            </w:pPr>
          </w:p>
          <w:p w14:paraId="7955981B" w14:textId="77777777" w:rsidR="00361EB7" w:rsidRPr="00361EB7" w:rsidRDefault="00361EB7" w:rsidP="00361EB7">
            <w:pPr>
              <w:suppressAutoHyphens/>
              <w:spacing w:line="240" w:lineRule="auto"/>
              <w:contextualSpacing/>
              <w:jc w:val="both"/>
              <w:rPr>
                <w:rFonts w:cstheme="minorHAnsi"/>
              </w:rPr>
            </w:pPr>
            <w:r w:rsidRPr="00361EB7">
              <w:rPr>
                <w:rFonts w:cstheme="minorHAnsi"/>
              </w:rPr>
              <w:lastRenderedPageBreak/>
              <w:t xml:space="preserve">•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63B936BF" w14:textId="77777777" w:rsidR="00361EB7" w:rsidRPr="00361EB7" w:rsidRDefault="00361EB7" w:rsidP="00361EB7">
            <w:pPr>
              <w:suppressAutoHyphens/>
              <w:spacing w:line="240" w:lineRule="auto"/>
              <w:ind w:left="786"/>
              <w:contextualSpacing/>
              <w:jc w:val="both"/>
              <w:rPr>
                <w:rFonts w:cstheme="minorHAnsi"/>
              </w:rPr>
            </w:pPr>
          </w:p>
          <w:p w14:paraId="53762FCD" w14:textId="77777777" w:rsidR="00361EB7" w:rsidRPr="00361EB7" w:rsidRDefault="00361EB7" w:rsidP="00361EB7">
            <w:pPr>
              <w:suppressAutoHyphens/>
              <w:spacing w:line="240" w:lineRule="auto"/>
              <w:contextualSpacing/>
              <w:jc w:val="both"/>
              <w:rPr>
                <w:rFonts w:cstheme="minorHAnsi"/>
              </w:rPr>
            </w:pPr>
            <w:r w:rsidRPr="00361EB7">
              <w:rPr>
                <w:rFonts w:cstheme="minorHAnsi"/>
              </w:rPr>
              <w:t>• 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poreza i drugih davanja) iz Kaznenog zakona (NN, br. 110/97, 27/98, 50/00, 129/00, 51/01, 111/03, 190/03, 105/04, 84/05, 71/06, 110/07, 152/08, 57/11, 77/11 i 143/12)</w:t>
            </w:r>
          </w:p>
        </w:tc>
        <w:tc>
          <w:tcPr>
            <w:tcW w:w="4035" w:type="dxa"/>
            <w:vAlign w:val="center"/>
          </w:tcPr>
          <w:p w14:paraId="7814B352"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Izjava Prijavitelja/Partnera</w:t>
            </w:r>
          </w:p>
        </w:tc>
      </w:tr>
      <w:tr w:rsidR="00361EB7" w:rsidRPr="00361EB7" w14:paraId="0F7630E8" w14:textId="77777777" w:rsidTr="00FB70D1">
        <w:trPr>
          <w:trHeight w:val="1101"/>
        </w:trPr>
        <w:tc>
          <w:tcPr>
            <w:tcW w:w="5027" w:type="dxa"/>
            <w:vAlign w:val="center"/>
          </w:tcPr>
          <w:p w14:paraId="5035C251" w14:textId="77777777" w:rsidR="00361EB7" w:rsidRPr="00361EB7" w:rsidRDefault="00361EB7" w:rsidP="00361EB7">
            <w:pPr>
              <w:suppressAutoHyphens/>
              <w:spacing w:line="240" w:lineRule="auto"/>
              <w:jc w:val="both"/>
              <w:rPr>
                <w:rFonts w:cstheme="minorHAnsi"/>
              </w:rPr>
            </w:pPr>
            <w:r w:rsidRPr="00361EB7">
              <w:rPr>
                <w:rFonts w:cstheme="minorHAnsi"/>
              </w:rPr>
              <w:t>Prijavitelj/Partner je dostavio lažne podatke pri predočavanju dokaza sukladno gore navedenim točkama.</w:t>
            </w:r>
          </w:p>
        </w:tc>
        <w:tc>
          <w:tcPr>
            <w:tcW w:w="4035" w:type="dxa"/>
            <w:vAlign w:val="center"/>
          </w:tcPr>
          <w:p w14:paraId="396C6BF4"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277F007F" w14:textId="77777777" w:rsidTr="00FB70D1">
        <w:tc>
          <w:tcPr>
            <w:tcW w:w="5027" w:type="dxa"/>
            <w:vAlign w:val="center"/>
          </w:tcPr>
          <w:p w14:paraId="443EEFC6" w14:textId="77777777" w:rsidR="00361EB7" w:rsidRPr="00361EB7" w:rsidRDefault="00361EB7" w:rsidP="00361EB7">
            <w:pPr>
              <w:suppressAutoHyphens/>
              <w:spacing w:line="240" w:lineRule="auto"/>
              <w:jc w:val="both"/>
              <w:rPr>
                <w:rFonts w:cstheme="minorHAnsi"/>
              </w:rPr>
            </w:pPr>
            <w:r w:rsidRPr="00361EB7">
              <w:rPr>
                <w:rFonts w:cstheme="minorHAnsi"/>
              </w:rPr>
              <w:t>Prijavitelj/Partner je pokušao pribaviti povjerljive informacije ili na nepropisan način utjecati na postupak odabira tijekom ovog ili prijašnjih PDP-ova</w:t>
            </w:r>
          </w:p>
        </w:tc>
        <w:tc>
          <w:tcPr>
            <w:tcW w:w="4035" w:type="dxa"/>
            <w:vAlign w:val="center"/>
          </w:tcPr>
          <w:p w14:paraId="3D816150"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1AB2ABB1" w14:textId="77777777" w:rsidTr="00FB70D1">
        <w:tc>
          <w:tcPr>
            <w:tcW w:w="5027" w:type="dxa"/>
            <w:vAlign w:val="center"/>
          </w:tcPr>
          <w:p w14:paraId="4E42D816" w14:textId="77777777" w:rsidR="00361EB7" w:rsidRPr="00361EB7" w:rsidRDefault="00361EB7" w:rsidP="00361EB7">
            <w:pPr>
              <w:suppressAutoHyphens/>
              <w:spacing w:line="240" w:lineRule="auto"/>
              <w:jc w:val="both"/>
              <w:rPr>
                <w:rFonts w:cstheme="minorHAnsi"/>
              </w:rPr>
            </w:pPr>
            <w:r w:rsidRPr="00361EB7">
              <w:rPr>
                <w:rFonts w:cstheme="minorHAnsi"/>
              </w:rPr>
              <w:t>Prijavitelj/Partner nije izvršio povrat sredstava prema odluci nadležnog tijela računajući od:</w:t>
            </w:r>
          </w:p>
          <w:p w14:paraId="7568968F" w14:textId="77777777" w:rsidR="00361EB7" w:rsidRPr="00361EB7" w:rsidRDefault="00361EB7" w:rsidP="00361EB7">
            <w:pPr>
              <w:suppressAutoHyphens/>
              <w:spacing w:line="240" w:lineRule="auto"/>
              <w:jc w:val="both"/>
              <w:rPr>
                <w:rFonts w:cstheme="minorHAnsi"/>
              </w:rPr>
            </w:pPr>
            <w:r w:rsidRPr="00361EB7">
              <w:rPr>
                <w:rFonts w:cstheme="minorHAnsi"/>
              </w:rPr>
              <w:t>• zaprimanja rješenja Upravljačkog tijela kojim se odbija prigovor Korisnika na Odluku o nepravilnosti kojom je utvrđen povrat sredstava, ili</w:t>
            </w:r>
          </w:p>
          <w:p w14:paraId="4864F298" w14:textId="77777777" w:rsidR="00361EB7" w:rsidRPr="00361EB7" w:rsidRDefault="00361EB7" w:rsidP="00361EB7">
            <w:pPr>
              <w:suppressAutoHyphens/>
              <w:spacing w:line="240" w:lineRule="auto"/>
              <w:jc w:val="both"/>
              <w:rPr>
                <w:rFonts w:cstheme="minorHAnsi"/>
              </w:rPr>
            </w:pPr>
            <w:r w:rsidRPr="00361EB7">
              <w:rPr>
                <w:rFonts w:cstheme="minorHAnsi"/>
              </w:rPr>
              <w:t>• od proteka roka za povrat sredstava na temelju raskida Ugovora o dodjeli bespovratnih po bilo kojoj osnovi, ili</w:t>
            </w:r>
          </w:p>
          <w:p w14:paraId="63BB9ACA" w14:textId="77777777" w:rsidR="00361EB7" w:rsidRPr="00361EB7" w:rsidRDefault="00361EB7" w:rsidP="00361EB7">
            <w:pPr>
              <w:suppressAutoHyphens/>
              <w:spacing w:line="240" w:lineRule="auto"/>
              <w:jc w:val="both"/>
              <w:rPr>
                <w:rFonts w:cstheme="minorHAnsi"/>
              </w:rPr>
            </w:pPr>
            <w:r w:rsidRPr="00361EB7">
              <w:rPr>
                <w:rFonts w:cstheme="minorHAnsi"/>
              </w:rPr>
              <w:t>• od proteka roka za povrat sredstava na temelju obavijesti o obvezi povrata predujma</w:t>
            </w:r>
          </w:p>
        </w:tc>
        <w:tc>
          <w:tcPr>
            <w:tcW w:w="4035" w:type="dxa"/>
            <w:vAlign w:val="center"/>
          </w:tcPr>
          <w:p w14:paraId="2F2E34F7"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232F983F" w14:textId="77777777" w:rsidTr="00FB70D1">
        <w:tc>
          <w:tcPr>
            <w:tcW w:w="5027" w:type="dxa"/>
            <w:tcBorders>
              <w:bottom w:val="single" w:sz="4" w:space="0" w:color="auto"/>
            </w:tcBorders>
            <w:shd w:val="clear" w:color="auto" w:fill="auto"/>
            <w:vAlign w:val="center"/>
          </w:tcPr>
          <w:p w14:paraId="53717579" w14:textId="77777777" w:rsidR="00361EB7" w:rsidRPr="00361EB7" w:rsidRDefault="00361EB7" w:rsidP="00361EB7">
            <w:pPr>
              <w:suppressAutoHyphens/>
              <w:spacing w:line="240" w:lineRule="auto"/>
              <w:jc w:val="both"/>
              <w:rPr>
                <w:rFonts w:cstheme="minorHAnsi"/>
              </w:rPr>
            </w:pPr>
            <w:r w:rsidRPr="00361EB7">
              <w:rPr>
                <w:rFonts w:cstheme="minorHAnsi"/>
              </w:rPr>
              <w:t>Prijavitelj/Partner koji je u sukobu interesa u predmetnom postupku dodjele bespovratnih sredstava</w:t>
            </w:r>
          </w:p>
        </w:tc>
        <w:tc>
          <w:tcPr>
            <w:tcW w:w="4035" w:type="dxa"/>
            <w:tcBorders>
              <w:bottom w:val="single" w:sz="4" w:space="0" w:color="auto"/>
            </w:tcBorders>
            <w:shd w:val="clear" w:color="auto" w:fill="auto"/>
            <w:vAlign w:val="center"/>
          </w:tcPr>
          <w:p w14:paraId="42B48A6F" w14:textId="77777777" w:rsidR="00361EB7" w:rsidRPr="00361EB7" w:rsidRDefault="00361EB7" w:rsidP="00361EB7">
            <w:pPr>
              <w:suppressAutoHyphens/>
              <w:spacing w:line="240" w:lineRule="auto"/>
              <w:jc w:val="both"/>
              <w:rPr>
                <w:rFonts w:cstheme="minorHAnsi"/>
              </w:rPr>
            </w:pPr>
            <w:r w:rsidRPr="00361EB7">
              <w:rPr>
                <w:rFonts w:cstheme="minorHAnsi"/>
              </w:rPr>
              <w:t>Izjava Prijavitelja/Partnera</w:t>
            </w:r>
          </w:p>
        </w:tc>
      </w:tr>
      <w:tr w:rsidR="00361EB7" w:rsidRPr="00361EB7" w14:paraId="18226810" w14:textId="77777777" w:rsidTr="00FB70D1">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73F06D25" w14:textId="77777777" w:rsidR="00361EB7" w:rsidRPr="00361EB7" w:rsidRDefault="00361EB7" w:rsidP="00361EB7">
            <w:pPr>
              <w:suppressAutoHyphens/>
              <w:spacing w:line="240" w:lineRule="auto"/>
              <w:jc w:val="both"/>
              <w:rPr>
                <w:rFonts w:cstheme="minorHAnsi"/>
              </w:rPr>
            </w:pPr>
            <w:r w:rsidRPr="00361EB7">
              <w:rPr>
                <w:rFonts w:cstheme="minorHAnsi"/>
              </w:rPr>
              <w:t>Prijavitelj</w:t>
            </w:r>
            <w:r w:rsidRPr="00FC1C96">
              <w:rPr>
                <w:rFonts w:cstheme="minorHAnsi"/>
                <w:strike/>
                <w:highlight w:val="yellow"/>
              </w:rPr>
              <w:t xml:space="preserve">/Partner </w:t>
            </w:r>
            <w:r w:rsidRPr="00FC1C96">
              <w:rPr>
                <w:rFonts w:cstheme="minorHAnsi"/>
              </w:rPr>
              <w:t>nije registriran za djelatnost koja je tražena PDP-om</w:t>
            </w:r>
            <w:r w:rsidRPr="00361EB7">
              <w:rPr>
                <w:rFonts w:cstheme="minorHAnsi"/>
              </w:rPr>
              <w:t xml:space="preserve"> </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6998107C" w14:textId="77777777" w:rsidR="00361EB7" w:rsidRPr="00361EB7" w:rsidRDefault="00361EB7" w:rsidP="00361EB7">
            <w:pPr>
              <w:suppressAutoHyphens/>
              <w:spacing w:line="240" w:lineRule="auto"/>
              <w:jc w:val="both"/>
              <w:rPr>
                <w:rFonts w:cstheme="minorHAnsi"/>
              </w:rPr>
            </w:pPr>
          </w:p>
          <w:p w14:paraId="09BD628E" w14:textId="18207A12" w:rsidR="00361EB7" w:rsidRPr="00361EB7" w:rsidRDefault="00361EB7" w:rsidP="00361EB7">
            <w:pPr>
              <w:suppressAutoHyphens/>
              <w:spacing w:line="240" w:lineRule="auto"/>
              <w:jc w:val="both"/>
              <w:rPr>
                <w:rFonts w:cstheme="minorHAnsi"/>
              </w:rPr>
            </w:pPr>
            <w:r w:rsidRPr="00361EB7">
              <w:rPr>
                <w:rFonts w:cstheme="minorHAnsi"/>
              </w:rPr>
              <w:t xml:space="preserve">Javni registri sukladno </w:t>
            </w:r>
            <w:r w:rsidR="000A1F0A" w:rsidRPr="000A1F0A">
              <w:rPr>
                <w:rFonts w:cstheme="minorHAnsi"/>
                <w:strike/>
                <w:highlight w:val="yellow"/>
              </w:rPr>
              <w:t>točkama</w:t>
            </w:r>
            <w:r w:rsidR="000A1F0A">
              <w:rPr>
                <w:rFonts w:cstheme="minorHAnsi"/>
              </w:rPr>
              <w:t xml:space="preserve"> </w:t>
            </w:r>
            <w:r w:rsidRPr="00361EB7">
              <w:rPr>
                <w:rFonts w:cstheme="minorHAnsi"/>
              </w:rPr>
              <w:t>točk</w:t>
            </w:r>
            <w:r w:rsidR="001E638A">
              <w:rPr>
                <w:rFonts w:cstheme="minorHAnsi"/>
              </w:rPr>
              <w:t>i</w:t>
            </w:r>
            <w:r w:rsidRPr="00361EB7">
              <w:rPr>
                <w:rFonts w:cstheme="minorHAnsi"/>
              </w:rPr>
              <w:t xml:space="preserve"> 2.6.1. za Prijavitelje </w:t>
            </w:r>
            <w:r w:rsidRPr="00361EB7">
              <w:rPr>
                <w:rFonts w:cstheme="minorHAnsi"/>
                <w:strike/>
                <w:highlight w:val="yellow"/>
              </w:rPr>
              <w:t>i 2.6.2 za Partnere</w:t>
            </w:r>
            <w:r w:rsidRPr="00361EB7">
              <w:rPr>
                <w:rFonts w:cstheme="minorHAnsi"/>
              </w:rPr>
              <w:t>.</w:t>
            </w:r>
          </w:p>
          <w:p w14:paraId="417A9E94" w14:textId="77777777" w:rsidR="00361EB7" w:rsidRPr="00361EB7" w:rsidRDefault="00361EB7" w:rsidP="00361EB7">
            <w:pPr>
              <w:suppressAutoHyphens/>
              <w:spacing w:line="240" w:lineRule="auto"/>
              <w:jc w:val="both"/>
              <w:rPr>
                <w:rFonts w:cstheme="minorHAnsi"/>
              </w:rPr>
            </w:pPr>
          </w:p>
        </w:tc>
      </w:tr>
      <w:tr w:rsidR="00361EB7" w:rsidRPr="00361EB7" w14:paraId="5B2C48B2" w14:textId="77777777" w:rsidTr="00FB70D1">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7AFEEE8C" w14:textId="77777777" w:rsidR="00361EB7" w:rsidRPr="00361EB7" w:rsidRDefault="00361EB7" w:rsidP="00361EB7">
            <w:pPr>
              <w:suppressAutoHyphens/>
              <w:spacing w:line="240" w:lineRule="auto"/>
              <w:jc w:val="both"/>
              <w:rPr>
                <w:rFonts w:cstheme="minorHAnsi"/>
              </w:rPr>
            </w:pPr>
            <w:r w:rsidRPr="00361EB7">
              <w:rPr>
                <w:rFonts w:cstheme="minorHAnsi"/>
              </w:rPr>
              <w:lastRenderedPageBreak/>
              <w:t>Partneri - udruge koje do datuma dostave projektnih prijedloga nisu uskladile svoje statute sa Zakonom o udrugama (NN 74/14, 70/17, 98/19, 151/22), niti su podnijele zahtjev za upis promjena nadležnom uredu državne uprave.</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21126EAB" w14:textId="77777777" w:rsidR="00361EB7" w:rsidRPr="00361EB7" w:rsidRDefault="00361EB7" w:rsidP="00361EB7">
            <w:pPr>
              <w:suppressAutoHyphens/>
              <w:spacing w:line="240" w:lineRule="auto"/>
              <w:jc w:val="both"/>
              <w:rPr>
                <w:rFonts w:cstheme="minorHAnsi"/>
              </w:rPr>
            </w:pPr>
            <w:r w:rsidRPr="00361EB7">
              <w:rPr>
                <w:rFonts w:cstheme="minorHAnsi"/>
              </w:rPr>
              <w:t>Registar udruga</w:t>
            </w:r>
          </w:p>
        </w:tc>
      </w:tr>
    </w:tbl>
    <w:p w14:paraId="2CC8C297" w14:textId="77777777" w:rsidR="007E381D" w:rsidRDefault="007E381D"/>
    <w:p w14:paraId="23D93922" w14:textId="77777777" w:rsidR="00361EB7" w:rsidRPr="00361EB7" w:rsidRDefault="00361EB7" w:rsidP="00361EB7">
      <w:pPr>
        <w:numPr>
          <w:ilvl w:val="0"/>
          <w:numId w:val="1"/>
        </w:numPr>
        <w:contextualSpacing/>
        <w:jc w:val="both"/>
        <w:rPr>
          <w:rFonts w:cstheme="minorHAnsi"/>
          <w:b/>
          <w:bCs/>
          <w:sz w:val="24"/>
          <w:szCs w:val="24"/>
        </w:rPr>
        <w:sectPr w:rsidR="00361EB7" w:rsidRPr="00361EB7" w:rsidSect="008C644B">
          <w:headerReference w:type="default" r:id="rId7"/>
          <w:footerReference w:type="default" r:id="rId8"/>
          <w:type w:val="continuous"/>
          <w:pgSz w:w="11906" w:h="16838" w:code="9"/>
          <w:pgMar w:top="1418" w:right="1418" w:bottom="1418" w:left="1418" w:header="709" w:footer="709" w:gutter="0"/>
          <w:cols w:space="708"/>
          <w:docGrid w:linePitch="360"/>
        </w:sectPr>
      </w:pPr>
    </w:p>
    <w:p w14:paraId="5F719069" w14:textId="77777777" w:rsidR="00361EB7" w:rsidRPr="00361EB7" w:rsidRDefault="00361EB7" w:rsidP="00361EB7">
      <w:pPr>
        <w:numPr>
          <w:ilvl w:val="0"/>
          <w:numId w:val="1"/>
        </w:numPr>
        <w:contextualSpacing/>
        <w:jc w:val="both"/>
        <w:rPr>
          <w:rFonts w:cstheme="minorHAnsi"/>
          <w:b/>
          <w:bCs/>
          <w:sz w:val="24"/>
          <w:szCs w:val="24"/>
        </w:rPr>
      </w:pPr>
      <w:bookmarkStart w:id="8" w:name="_Toc453933147"/>
      <w:bookmarkStart w:id="9" w:name="_OPĆE_INFORMACIJE"/>
      <w:bookmarkEnd w:id="8"/>
      <w:bookmarkEnd w:id="9"/>
      <w:r w:rsidRPr="00361EB7">
        <w:rPr>
          <w:rFonts w:cstheme="minorHAnsi"/>
          <w:b/>
          <w:bCs/>
          <w:sz w:val="24"/>
          <w:szCs w:val="24"/>
        </w:rPr>
        <w:t>Točka 2.7.4.</w:t>
      </w:r>
      <w:r w:rsidRPr="00361EB7">
        <w:rPr>
          <w:rFonts w:cstheme="minorHAnsi"/>
          <w:b/>
          <w:bCs/>
          <w:sz w:val="24"/>
          <w:szCs w:val="24"/>
        </w:rPr>
        <w:tab/>
        <w:t>Neprihvatljive vrste troškova</w:t>
      </w:r>
    </w:p>
    <w:p w14:paraId="22BDFBCA" w14:textId="77777777" w:rsidR="00361EB7" w:rsidRPr="00361EB7" w:rsidRDefault="00361EB7" w:rsidP="00361EB7">
      <w:pPr>
        <w:spacing w:before="100" w:beforeAutospacing="1" w:after="200"/>
        <w:jc w:val="both"/>
        <w:rPr>
          <w:rFonts w:cstheme="minorHAnsi"/>
          <w:sz w:val="24"/>
          <w:szCs w:val="24"/>
        </w:rPr>
      </w:pPr>
      <w:r w:rsidRPr="00361EB7">
        <w:rPr>
          <w:rFonts w:cstheme="minorHAnsi"/>
          <w:sz w:val="24"/>
          <w:szCs w:val="24"/>
        </w:rPr>
        <w:t>Neprihvatljive vrste troškova za sve projekte koji se financiraju iz ESF+-a navedene su u Pravilniku o prihvatljivosti troškova</w:t>
      </w:r>
      <w:r w:rsidRPr="00361EB7">
        <w:rPr>
          <w:rFonts w:eastAsia="Times New Roman" w:cstheme="minorHAnsi"/>
          <w:noProof/>
          <w:sz w:val="24"/>
          <w:szCs w:val="24"/>
        </w:rPr>
        <w:t xml:space="preserve"> </w:t>
      </w:r>
      <w:r w:rsidRPr="00361EB7">
        <w:rPr>
          <w:rFonts w:cstheme="minorHAnsi"/>
          <w:sz w:val="24"/>
          <w:szCs w:val="24"/>
        </w:rPr>
        <w:t xml:space="preserve">u okviru Europskoga socijalnog fonda plus. </w:t>
      </w:r>
    </w:p>
    <w:p w14:paraId="6D714095" w14:textId="77777777" w:rsidR="00361EB7" w:rsidRPr="00361EB7" w:rsidRDefault="00361EB7" w:rsidP="00361EB7">
      <w:pPr>
        <w:spacing w:before="100" w:beforeAutospacing="1" w:after="200"/>
        <w:jc w:val="both"/>
        <w:rPr>
          <w:rFonts w:cstheme="minorHAnsi"/>
          <w:sz w:val="24"/>
          <w:szCs w:val="24"/>
        </w:rPr>
      </w:pPr>
      <w:r w:rsidRPr="00361EB7">
        <w:rPr>
          <w:rFonts w:cstheme="minorHAnsi"/>
          <w:sz w:val="24"/>
          <w:szCs w:val="24"/>
        </w:rPr>
        <w:t xml:space="preserve">Dodatno, vrste neprihvatljivih troškova za projekte u okviru ovog PDP-a su sljedeće: </w:t>
      </w:r>
    </w:p>
    <w:p w14:paraId="2CC789EB"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svi neprihvatljivi izdaci u skladu s Uputom o prihvatljivosti troškova plaća i troškova povezanih s radom u okviru projekata financiranih iz ESF+ u RH 2021. - 2027.</w:t>
      </w:r>
    </w:p>
    <w:p w14:paraId="7E02C486"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 xml:space="preserve">standardne veličine jediničnih troškova, </w:t>
      </w:r>
    </w:p>
    <w:p w14:paraId="4B3A45CF"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izravni troškovi osoblja koji nisu izračunati primjenom paušalne stope</w:t>
      </w:r>
      <w:r w:rsidRPr="00361EB7">
        <w:rPr>
          <w:rFonts w:cstheme="minorHAnsi"/>
        </w:rPr>
        <w:t xml:space="preserve"> </w:t>
      </w:r>
      <w:r w:rsidRPr="00361EB7">
        <w:rPr>
          <w:rFonts w:eastAsia="Calibri" w:cstheme="minorHAnsi"/>
          <w:sz w:val="24"/>
          <w:szCs w:val="24"/>
        </w:rPr>
        <w:t>od 20 % ostalih izravnih troškova,</w:t>
      </w:r>
    </w:p>
    <w:p w14:paraId="1594FD3B"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kupnje i održavanja vozila,</w:t>
      </w:r>
    </w:p>
    <w:p w14:paraId="0FC36A8C"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nabave opreme</w:t>
      </w:r>
      <w:r w:rsidRPr="00361EB7">
        <w:rPr>
          <w:rFonts w:cstheme="minorHAnsi"/>
          <w:sz w:val="24"/>
          <w:szCs w:val="24"/>
        </w:rPr>
        <w:t xml:space="preserve"> koja nije nužna za provedbu projektnih aktivnosti i koja se ne koristi u razumnom opsegu tijekom provedbe projekta, posebno nakon što je veći dio aktivnosti već proveden, </w:t>
      </w:r>
    </w:p>
    <w:p w14:paraId="56DB337B"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troškovi koji su već bili financirani iz javnih izvora, odnosno troškovi koji se u razdoblju provedbe projekta financiraju iz drugih izvora,</w:t>
      </w:r>
    </w:p>
    <w:p w14:paraId="3252DF7C"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upravne pristojbe,</w:t>
      </w:r>
    </w:p>
    <w:p w14:paraId="30545DCE"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troškovi pisanja scenarija, razvoja, produkcije, distribucije i promicanja audiovizualnih djela, osim u slučaju troškova nastalih uslijed aktivnosti u kojima su aktivno sudjelovali pripadnici ranjivih skupina,</w:t>
      </w:r>
    </w:p>
    <w:p w14:paraId="2F9F85CC"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 xml:space="preserve">troškovi podugovaranja (nabava dobara, usluga, radova) samih korisnika i/ili partnera, </w:t>
      </w:r>
    </w:p>
    <w:p w14:paraId="15DCB469"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bookmarkStart w:id="10" w:name="_Hlk172801329"/>
      <w:r w:rsidRPr="00361EB7">
        <w:rPr>
          <w:rFonts w:eastAsia="Calibri" w:cstheme="minorHAnsi"/>
          <w:sz w:val="24"/>
          <w:szCs w:val="24"/>
        </w:rPr>
        <w:t xml:space="preserve">troškovi dodatnog dohotka za obavljanje poslova vezanih za projekt na temelju ugovora o djelu odnosno drugog </w:t>
      </w:r>
      <w:proofErr w:type="spellStart"/>
      <w:r w:rsidRPr="00361EB7">
        <w:rPr>
          <w:rFonts w:eastAsia="Calibri" w:cstheme="minorHAnsi"/>
          <w:sz w:val="24"/>
          <w:szCs w:val="24"/>
        </w:rPr>
        <w:t>obveznopravnog</w:t>
      </w:r>
      <w:proofErr w:type="spellEnd"/>
      <w:r w:rsidRPr="00361EB7">
        <w:rPr>
          <w:rFonts w:eastAsia="Calibri" w:cstheme="minorHAnsi"/>
          <w:sz w:val="24"/>
          <w:szCs w:val="24"/>
        </w:rPr>
        <w:t xml:space="preserve"> ugovora slične prirode zaposlenika korisnika i/ili partnera koji istovremeno svoju redovnu plaću primaju na temelju ugovora o radu/rješenja između poslodavca i radnika,</w:t>
      </w:r>
    </w:p>
    <w:bookmarkEnd w:id="10"/>
    <w:p w14:paraId="4F01D6B1"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jubilarne nagrade i naknade za odvojeni život,</w:t>
      </w:r>
    </w:p>
    <w:p w14:paraId="14962722"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5F680D3B"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 xml:space="preserve">jednokratne naknade i potpore koje čine materijalno pravo radnika a koje se ostvaruju temeljem nastanka okolnosti za koje se dodjeljuju i ne isplaćuju se svim zaposlenicima </w:t>
      </w:r>
      <w:r w:rsidRPr="00361EB7">
        <w:rPr>
          <w:rFonts w:eastAsia="Calibri" w:cstheme="minorHAnsi"/>
          <w:sz w:val="24"/>
          <w:szCs w:val="24"/>
        </w:rPr>
        <w:lastRenderedPageBreak/>
        <w:t>korisnika (u slučaju smrti člana uže obitelji, za novorođeno dijete, zbog bolovanja zaposlenika duljeg od 90 dana, dar za djecu i slično),</w:t>
      </w:r>
    </w:p>
    <w:p w14:paraId="35D06E05"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trošak potvrde (</w:t>
      </w:r>
      <w:proofErr w:type="spellStart"/>
      <w:r w:rsidRPr="00361EB7">
        <w:rPr>
          <w:rFonts w:eastAsia="Calibri" w:cstheme="minorHAnsi"/>
          <w:sz w:val="24"/>
          <w:szCs w:val="24"/>
        </w:rPr>
        <w:t>solemnizacije</w:t>
      </w:r>
      <w:proofErr w:type="spellEnd"/>
      <w:r w:rsidRPr="00361EB7">
        <w:rPr>
          <w:rFonts w:eastAsia="Calibri" w:cstheme="minorHAnsi"/>
          <w:sz w:val="24"/>
          <w:szCs w:val="24"/>
        </w:rPr>
        <w:t>) bjanko zadužnice, troškovi plaća i povezanih troškova osoba koje su kontinuirano uključene u provedbu projektnih aktivnosti ili upravljanje i administraciju projektom te promidžbu i vidljivost koji nisu u skladu s pozitivnim propisima nacionalnog zakonodavstva,</w:t>
      </w:r>
    </w:p>
    <w:p w14:paraId="18198AA3"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komunikacije i vidljivosti koji prelaze 5 % svih ukupno prihvatljivih troškova projekta,</w:t>
      </w:r>
    </w:p>
    <w:p w14:paraId="26E85A5F"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upravljanja projektom kao izravni troškovi,</w:t>
      </w:r>
    </w:p>
    <w:p w14:paraId="3ADFA91B"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neizravni troškovi koji nisu obračunati primjenom paušalnom stopom u visini 15 % prihvatljivih izravnih troškova osoblja,</w:t>
      </w:r>
    </w:p>
    <w:p w14:paraId="31674C4C"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vezani uz sudjelovanje sudionika koji nisu odabrani na temelju postupka odabira opisanog u točki 2.2. Uputa za prijavitelje,</w:t>
      </w:r>
    </w:p>
    <w:p w14:paraId="62E6D121"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drugi troškovi koji nisu u neposrednoj povezanosti sa sadržajem i ciljevima poziva/projekta.</w:t>
      </w:r>
    </w:p>
    <w:p w14:paraId="4BF1D0CE" w14:textId="77777777" w:rsidR="00361EB7" w:rsidRPr="00361EB7" w:rsidRDefault="00361EB7" w:rsidP="00361EB7">
      <w:pPr>
        <w:jc w:val="both"/>
        <w:rPr>
          <w:rFonts w:cstheme="minorHAnsi"/>
        </w:rPr>
      </w:pPr>
    </w:p>
    <w:p w14:paraId="16E4454E" w14:textId="77777777" w:rsidR="00361EB7" w:rsidRPr="00361EB7" w:rsidRDefault="00361EB7" w:rsidP="00361EB7">
      <w:pPr>
        <w:jc w:val="both"/>
        <w:rPr>
          <w:rFonts w:cstheme="minorHAnsi"/>
          <w:b/>
          <w:bCs/>
          <w:sz w:val="24"/>
          <w:szCs w:val="24"/>
        </w:rPr>
      </w:pPr>
      <w:bookmarkStart w:id="11" w:name="_Hlk182212811"/>
      <w:r w:rsidRPr="00361EB7">
        <w:rPr>
          <w:rFonts w:cstheme="minorHAnsi"/>
          <w:b/>
          <w:bCs/>
          <w:sz w:val="24"/>
          <w:szCs w:val="24"/>
        </w:rPr>
        <w:t>mijenja se i glasi:</w:t>
      </w:r>
    </w:p>
    <w:bookmarkEnd w:id="11"/>
    <w:p w14:paraId="4E438C57" w14:textId="77777777" w:rsidR="00361EB7" w:rsidRPr="00361EB7" w:rsidRDefault="00361EB7" w:rsidP="00361EB7">
      <w:pPr>
        <w:spacing w:before="100" w:beforeAutospacing="1" w:after="200"/>
        <w:jc w:val="both"/>
        <w:rPr>
          <w:rFonts w:cstheme="minorHAnsi"/>
          <w:sz w:val="24"/>
          <w:szCs w:val="24"/>
        </w:rPr>
      </w:pPr>
      <w:r w:rsidRPr="00361EB7">
        <w:rPr>
          <w:rFonts w:cstheme="minorHAnsi"/>
          <w:sz w:val="24"/>
          <w:szCs w:val="24"/>
        </w:rPr>
        <w:t>Neprihvatljive vrste troškova za sve projekte koji se financiraju iz ESF+-a navedene su u Pravilniku o prihvatljivosti troškova</w:t>
      </w:r>
      <w:r w:rsidRPr="00361EB7">
        <w:rPr>
          <w:rFonts w:eastAsia="Times New Roman" w:cstheme="minorHAnsi"/>
          <w:noProof/>
          <w:sz w:val="24"/>
          <w:szCs w:val="24"/>
        </w:rPr>
        <w:t xml:space="preserve"> </w:t>
      </w:r>
      <w:r w:rsidRPr="00361EB7">
        <w:rPr>
          <w:rFonts w:cstheme="minorHAnsi"/>
          <w:sz w:val="24"/>
          <w:szCs w:val="24"/>
        </w:rPr>
        <w:t xml:space="preserve">u okviru Europskoga socijalnog fonda plus. </w:t>
      </w:r>
    </w:p>
    <w:p w14:paraId="106BB8A1" w14:textId="77777777" w:rsidR="00361EB7" w:rsidRPr="00361EB7" w:rsidRDefault="00361EB7" w:rsidP="00361EB7">
      <w:pPr>
        <w:spacing w:before="100" w:beforeAutospacing="1" w:after="200"/>
        <w:jc w:val="both"/>
        <w:rPr>
          <w:rFonts w:cstheme="minorHAnsi"/>
          <w:sz w:val="24"/>
          <w:szCs w:val="24"/>
        </w:rPr>
      </w:pPr>
      <w:r w:rsidRPr="00361EB7">
        <w:rPr>
          <w:rFonts w:cstheme="minorHAnsi"/>
          <w:sz w:val="24"/>
          <w:szCs w:val="24"/>
        </w:rPr>
        <w:t xml:space="preserve">Dodatno, vrste neprihvatljivih troškova za projekte u okviru ovog PDP-a su sljedeće: </w:t>
      </w:r>
    </w:p>
    <w:p w14:paraId="0F96B5DC"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svi neprihvatljivi izdaci u skladu s Uputom o prihvatljivosti troškova plaća i troškova povezanih s radom u okviru projekata financiranih iz ESF+ u RH 2021. - 2027.</w:t>
      </w:r>
    </w:p>
    <w:p w14:paraId="23CB6355"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 xml:space="preserve">standardne veličine jediničnih troškova, </w:t>
      </w:r>
    </w:p>
    <w:p w14:paraId="4CAE8660"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izravni troškovi osoblja koji nisu izračunati primjenom paušalne stope</w:t>
      </w:r>
      <w:r w:rsidRPr="00361EB7">
        <w:rPr>
          <w:rFonts w:cstheme="minorHAnsi"/>
        </w:rPr>
        <w:t xml:space="preserve"> </w:t>
      </w:r>
      <w:r w:rsidRPr="00361EB7">
        <w:rPr>
          <w:rFonts w:eastAsia="Calibri" w:cstheme="minorHAnsi"/>
          <w:sz w:val="24"/>
          <w:szCs w:val="24"/>
        </w:rPr>
        <w:t>od 20 % ostalih izravnih troškova,</w:t>
      </w:r>
    </w:p>
    <w:p w14:paraId="5E65EA30"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kupnje i održavanja vozila,</w:t>
      </w:r>
    </w:p>
    <w:p w14:paraId="06D62110"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nabave opreme</w:t>
      </w:r>
      <w:r w:rsidRPr="00361EB7">
        <w:rPr>
          <w:rFonts w:cstheme="minorHAnsi"/>
          <w:sz w:val="24"/>
          <w:szCs w:val="24"/>
        </w:rPr>
        <w:t xml:space="preserve"> koja nije nužna za provedbu projektnih aktivnosti i koja se ne koristi u razumnom opsegu tijekom provedbe projekta, posebno nakon što je veći dio aktivnosti već proveden, </w:t>
      </w:r>
    </w:p>
    <w:p w14:paraId="5FBF0C52"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troškovi koji su već bili financirani iz javnih izvora, odnosno troškovi koji se u razdoblju provedbe projekta financiraju iz drugih izvora,</w:t>
      </w:r>
    </w:p>
    <w:p w14:paraId="3F4897C1"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upravne pristojbe,</w:t>
      </w:r>
    </w:p>
    <w:p w14:paraId="5EF2AB84"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troškovi pisanja scenarija, razvoja, produkcije, distribucije i promicanja audiovizualnih djela, osim u slučaju troškova nastalih uslijed aktivnosti u kojima su aktivno sudjelovali pripadnici ranjivih skupina,</w:t>
      </w:r>
    </w:p>
    <w:p w14:paraId="1EAAD014" w14:textId="77777777" w:rsidR="00361EB7" w:rsidRPr="00361EB7" w:rsidRDefault="00361EB7" w:rsidP="00361EB7">
      <w:pPr>
        <w:numPr>
          <w:ilvl w:val="0"/>
          <w:numId w:val="2"/>
        </w:numPr>
        <w:spacing w:after="0"/>
        <w:ind w:left="357" w:hanging="357"/>
        <w:contextualSpacing/>
        <w:rPr>
          <w:rFonts w:eastAsia="Calibri" w:cstheme="minorHAnsi"/>
          <w:sz w:val="24"/>
          <w:szCs w:val="24"/>
        </w:rPr>
      </w:pPr>
      <w:r w:rsidRPr="00361EB7">
        <w:rPr>
          <w:rFonts w:eastAsia="Calibri" w:cstheme="minorHAnsi"/>
          <w:sz w:val="24"/>
          <w:szCs w:val="24"/>
        </w:rPr>
        <w:t xml:space="preserve">troškovi podugovaranja (nabava dobara, usluga, radova) samih korisnika i/ili partnera, </w:t>
      </w:r>
    </w:p>
    <w:p w14:paraId="19FD630A"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lastRenderedPageBreak/>
        <w:t xml:space="preserve">troškovi dodatnog dohotka za obavljanje poslova vezanih za projekt na temelju ugovora o djelu odnosno drugog </w:t>
      </w:r>
      <w:proofErr w:type="spellStart"/>
      <w:r w:rsidRPr="00361EB7">
        <w:rPr>
          <w:rFonts w:eastAsia="Calibri" w:cstheme="minorHAnsi"/>
          <w:sz w:val="24"/>
          <w:szCs w:val="24"/>
        </w:rPr>
        <w:t>obveznopravnog</w:t>
      </w:r>
      <w:proofErr w:type="spellEnd"/>
      <w:r w:rsidRPr="00361EB7">
        <w:rPr>
          <w:rFonts w:eastAsia="Calibri" w:cstheme="minorHAnsi"/>
          <w:sz w:val="24"/>
          <w:szCs w:val="24"/>
        </w:rPr>
        <w:t xml:space="preserve"> ugovora slične prirode zaposlenika korisnika i/ili partnera koji istovremeno svoju redovnu plaću primaju na temelju ugovora o radu/rješenja između poslodavca i radnika,</w:t>
      </w:r>
    </w:p>
    <w:p w14:paraId="28CD2CF5"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jubilarne nagrade i naknade za odvojeni život,</w:t>
      </w:r>
    </w:p>
    <w:p w14:paraId="624280ED"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2C5900B4"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6D7CD5DA"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trošak potvrde (</w:t>
      </w:r>
      <w:proofErr w:type="spellStart"/>
      <w:r w:rsidRPr="00361EB7">
        <w:rPr>
          <w:rFonts w:eastAsia="Calibri" w:cstheme="minorHAnsi"/>
          <w:sz w:val="24"/>
          <w:szCs w:val="24"/>
        </w:rPr>
        <w:t>solemnizacije</w:t>
      </w:r>
      <w:proofErr w:type="spellEnd"/>
      <w:r w:rsidRPr="00361EB7">
        <w:rPr>
          <w:rFonts w:eastAsia="Calibri" w:cstheme="minorHAnsi"/>
          <w:sz w:val="24"/>
          <w:szCs w:val="24"/>
        </w:rPr>
        <w:t>) bjanko zadužnice, troškovi plaća i povezanih troškova osoba koje su kontinuirano uključene u provedbu projektnih aktivnosti ili upravljanje i administraciju projektom te promidžbu i vidljivost koji nisu u skladu s pozitivnim propisima nacionalnog zakonodavstva,</w:t>
      </w:r>
    </w:p>
    <w:p w14:paraId="6924EB94"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komunikacije i vidljivosti koji prelaze 5 % svih ukupno prihvatljivih troškova projekta,</w:t>
      </w:r>
    </w:p>
    <w:p w14:paraId="486E6F72"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upravljanja projektom kao izravni troškovi,</w:t>
      </w:r>
    </w:p>
    <w:p w14:paraId="4FB64AB8"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neizravni troškovi koji nisu obračunati primjenom paušalnom stopom u visini 15 % prihvatljivih izravnih troškova osoblja,</w:t>
      </w:r>
    </w:p>
    <w:p w14:paraId="1F5D5AAC"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troškovi vezani uz sudjelovanje sudionika koji nisu odabrani na temelju postupka odabira opisanog u točki 2.2. Uputa za prijavitelje,</w:t>
      </w:r>
    </w:p>
    <w:p w14:paraId="5B6C4C8D" w14:textId="184307E0" w:rsidR="00361EB7" w:rsidRPr="00361EB7" w:rsidRDefault="00361EB7" w:rsidP="00361EB7">
      <w:pPr>
        <w:numPr>
          <w:ilvl w:val="0"/>
          <w:numId w:val="2"/>
        </w:numPr>
        <w:spacing w:after="0"/>
        <w:ind w:left="357" w:hanging="357"/>
        <w:contextualSpacing/>
        <w:jc w:val="both"/>
        <w:rPr>
          <w:rFonts w:eastAsia="Calibri" w:cstheme="minorHAnsi"/>
          <w:sz w:val="24"/>
          <w:szCs w:val="24"/>
          <w:highlight w:val="yellow"/>
        </w:rPr>
      </w:pPr>
      <w:r w:rsidRPr="00361EB7">
        <w:rPr>
          <w:rFonts w:eastAsia="Calibri" w:cstheme="minorHAnsi"/>
          <w:sz w:val="24"/>
          <w:szCs w:val="24"/>
          <w:highlight w:val="yellow"/>
        </w:rPr>
        <w:t>troškovi građevinsk</w:t>
      </w:r>
      <w:r w:rsidR="009A755B">
        <w:rPr>
          <w:rFonts w:eastAsia="Calibri" w:cstheme="minorHAnsi"/>
          <w:sz w:val="24"/>
          <w:szCs w:val="24"/>
          <w:highlight w:val="yellow"/>
        </w:rPr>
        <w:t>o-obrtničkih</w:t>
      </w:r>
      <w:r w:rsidRPr="00361EB7">
        <w:rPr>
          <w:rFonts w:eastAsia="Calibri" w:cstheme="minorHAnsi"/>
          <w:sz w:val="24"/>
          <w:szCs w:val="24"/>
          <w:highlight w:val="yellow"/>
        </w:rPr>
        <w:t xml:space="preserve"> radova,</w:t>
      </w:r>
    </w:p>
    <w:p w14:paraId="64C1B5C8" w14:textId="77777777" w:rsidR="00361EB7" w:rsidRPr="00361EB7" w:rsidRDefault="00361EB7" w:rsidP="00361EB7">
      <w:pPr>
        <w:numPr>
          <w:ilvl w:val="0"/>
          <w:numId w:val="2"/>
        </w:numPr>
        <w:spacing w:after="0"/>
        <w:ind w:left="357" w:hanging="357"/>
        <w:contextualSpacing/>
        <w:jc w:val="both"/>
        <w:rPr>
          <w:rFonts w:eastAsia="Calibri" w:cstheme="minorHAnsi"/>
          <w:sz w:val="24"/>
          <w:szCs w:val="24"/>
        </w:rPr>
      </w:pPr>
      <w:r w:rsidRPr="00361EB7">
        <w:rPr>
          <w:rFonts w:eastAsia="Calibri" w:cstheme="minorHAnsi"/>
          <w:sz w:val="24"/>
          <w:szCs w:val="24"/>
        </w:rPr>
        <w:t>drugi troškovi koji nisu u neposrednoj povezanosti sa sadržajem i ciljevima poziva/projekta.</w:t>
      </w:r>
    </w:p>
    <w:p w14:paraId="76679D75" w14:textId="77777777" w:rsidR="00361EB7" w:rsidRDefault="00361EB7" w:rsidP="00361EB7">
      <w:pPr>
        <w:spacing w:after="0"/>
        <w:contextualSpacing/>
        <w:jc w:val="both"/>
        <w:rPr>
          <w:rFonts w:eastAsia="Calibri" w:cstheme="minorHAnsi"/>
          <w:sz w:val="24"/>
          <w:szCs w:val="24"/>
        </w:rPr>
      </w:pPr>
    </w:p>
    <w:p w14:paraId="3B5C0052" w14:textId="094F634F" w:rsidR="00136905" w:rsidRDefault="00136905" w:rsidP="006234CD">
      <w:pPr>
        <w:pStyle w:val="ListParagraph"/>
        <w:numPr>
          <w:ilvl w:val="0"/>
          <w:numId w:val="4"/>
        </w:numPr>
        <w:rPr>
          <w:rFonts w:cstheme="minorHAnsi"/>
          <w:b/>
          <w:iCs/>
          <w:sz w:val="24"/>
          <w:szCs w:val="24"/>
        </w:rPr>
      </w:pPr>
      <w:r w:rsidRPr="00136905">
        <w:rPr>
          <w:rFonts w:cstheme="minorHAnsi"/>
          <w:b/>
          <w:iCs/>
          <w:sz w:val="24"/>
          <w:szCs w:val="24"/>
        </w:rPr>
        <w:t xml:space="preserve">Točka 3. POSTUPAK PRIJAVE, </w:t>
      </w:r>
      <w:r>
        <w:rPr>
          <w:rFonts w:cstheme="minorHAnsi"/>
          <w:b/>
          <w:iCs/>
          <w:sz w:val="24"/>
          <w:szCs w:val="24"/>
        </w:rPr>
        <w:t xml:space="preserve">3.1 </w:t>
      </w:r>
      <w:r w:rsidRPr="00136905">
        <w:rPr>
          <w:rFonts w:cstheme="minorHAnsi"/>
          <w:b/>
          <w:iCs/>
          <w:sz w:val="24"/>
          <w:szCs w:val="24"/>
        </w:rPr>
        <w:t xml:space="preserve">Izgled, sadržaj i podnošenje projektnog prijedloga </w:t>
      </w:r>
    </w:p>
    <w:p w14:paraId="5DE2E42B" w14:textId="77777777" w:rsidR="006234CD" w:rsidRPr="006234CD" w:rsidRDefault="006234CD" w:rsidP="006234CD">
      <w:pPr>
        <w:pStyle w:val="ListParagraph"/>
        <w:rPr>
          <w:rFonts w:cstheme="minorHAnsi"/>
          <w:b/>
          <w:iCs/>
          <w:sz w:val="24"/>
          <w:szCs w:val="24"/>
        </w:rPr>
      </w:pPr>
    </w:p>
    <w:p w14:paraId="4F8D019A" w14:textId="2EC76B35" w:rsidR="00136905" w:rsidRPr="00136905" w:rsidRDefault="00136905" w:rsidP="00136905">
      <w:pPr>
        <w:numPr>
          <w:ilvl w:val="0"/>
          <w:numId w:val="3"/>
        </w:numPr>
        <w:spacing w:after="200"/>
        <w:ind w:left="709"/>
        <w:contextualSpacing/>
        <w:jc w:val="both"/>
        <w:rPr>
          <w:rFonts w:eastAsiaTheme="minorHAnsi" w:cstheme="minorHAnsi"/>
          <w:bCs/>
          <w:i/>
          <w:kern w:val="2"/>
          <w:sz w:val="24"/>
          <w:szCs w:val="24"/>
          <w14:ligatures w14:val="standardContextual"/>
        </w:rPr>
      </w:pPr>
      <w:r w:rsidRPr="00136905">
        <w:rPr>
          <w:rFonts w:eastAsiaTheme="minorHAnsi" w:cstheme="minorHAnsi"/>
          <w:bCs/>
          <w:iCs/>
          <w:kern w:val="2"/>
          <w:sz w:val="24"/>
          <w:szCs w:val="24"/>
          <w14:ligatures w14:val="standardContextual"/>
        </w:rPr>
        <w:t xml:space="preserve">Tekst </w:t>
      </w:r>
      <w:r w:rsidR="006234CD">
        <w:rPr>
          <w:rFonts w:eastAsiaTheme="minorHAnsi" w:cstheme="minorHAnsi"/>
          <w:bCs/>
          <w:iCs/>
          <w:kern w:val="2"/>
          <w:sz w:val="24"/>
          <w:szCs w:val="24"/>
          <w14:ligatures w14:val="standardContextual"/>
        </w:rPr>
        <w:t>trećeg paragrafa</w:t>
      </w:r>
      <w:r w:rsidRPr="00136905">
        <w:rPr>
          <w:rFonts w:eastAsiaTheme="minorHAnsi" w:cstheme="minorHAnsi"/>
          <w:iCs/>
          <w:kern w:val="2"/>
          <w:sz w:val="24"/>
          <w:szCs w:val="24"/>
          <w14:ligatures w14:val="standardContextual"/>
        </w:rPr>
        <w:t xml:space="preserve">: </w:t>
      </w:r>
    </w:p>
    <w:p w14:paraId="4D638C26" w14:textId="77777777" w:rsidR="00136905" w:rsidRPr="00361EB7" w:rsidRDefault="00136905" w:rsidP="00361EB7">
      <w:pPr>
        <w:spacing w:after="0"/>
        <w:contextualSpacing/>
        <w:jc w:val="both"/>
        <w:rPr>
          <w:rFonts w:eastAsia="Calibri" w:cstheme="minorHAnsi"/>
          <w:sz w:val="24"/>
          <w:szCs w:val="24"/>
        </w:rPr>
      </w:pPr>
    </w:p>
    <w:p w14:paraId="0191E3C2" w14:textId="77777777" w:rsidR="00136905" w:rsidRPr="00314FAF" w:rsidRDefault="00136905" w:rsidP="00136905">
      <w:pPr>
        <w:spacing w:after="0"/>
        <w:jc w:val="both"/>
        <w:rPr>
          <w:rFonts w:ascii="Calibri" w:eastAsia="Calibri" w:hAnsi="Calibri" w:cstheme="minorHAnsi"/>
          <w:sz w:val="24"/>
          <w:szCs w:val="24"/>
        </w:rPr>
      </w:pPr>
      <w:r w:rsidRPr="00314FAF">
        <w:rPr>
          <w:rFonts w:ascii="Calibri" w:eastAsia="Calibri" w:hAnsi="Calibri" w:cstheme="minorHAnsi"/>
          <w:sz w:val="24"/>
          <w:szCs w:val="24"/>
        </w:rPr>
        <w:t xml:space="preserve">Na ovaj PDP primjenjuju se Korisničke upute za korištenje sustav </w:t>
      </w:r>
      <w:proofErr w:type="spellStart"/>
      <w:r w:rsidRPr="00314FAF">
        <w:rPr>
          <w:rFonts w:ascii="Calibri" w:eastAsia="Calibri" w:hAnsi="Calibri" w:cstheme="minorHAnsi"/>
          <w:sz w:val="24"/>
          <w:szCs w:val="24"/>
        </w:rPr>
        <w:t>eKohezija</w:t>
      </w:r>
      <w:proofErr w:type="spellEnd"/>
      <w:r w:rsidRPr="00314FAF">
        <w:rPr>
          <w:rFonts w:ascii="Calibri" w:eastAsia="Calibri" w:hAnsi="Calibri" w:cstheme="minorHAnsi"/>
          <w:sz w:val="24"/>
          <w:szCs w:val="24"/>
        </w:rPr>
        <w:t>, koje su objavljene</w:t>
      </w:r>
    </w:p>
    <w:p w14:paraId="54DB4C9D" w14:textId="77777777" w:rsidR="00136905" w:rsidRPr="00314FAF" w:rsidRDefault="00136905" w:rsidP="00136905">
      <w:pPr>
        <w:spacing w:after="0"/>
        <w:jc w:val="both"/>
        <w:rPr>
          <w:rFonts w:ascii="Calibri" w:eastAsia="Calibri" w:hAnsi="Calibri" w:cstheme="minorHAnsi"/>
          <w:sz w:val="24"/>
          <w:szCs w:val="24"/>
        </w:rPr>
      </w:pPr>
      <w:r w:rsidRPr="00314FAF">
        <w:rPr>
          <w:rFonts w:ascii="Calibri" w:eastAsia="Calibri" w:hAnsi="Calibri" w:cstheme="minorHAnsi"/>
          <w:sz w:val="24"/>
          <w:szCs w:val="24"/>
        </w:rPr>
        <w:t>na portalu (upute za prijavu u sustav i podnošenje projektnog prijedloga) i unutar spomenutog</w:t>
      </w:r>
    </w:p>
    <w:p w14:paraId="7C16F348" w14:textId="77777777" w:rsidR="00136905" w:rsidRPr="00314FAF" w:rsidRDefault="00136905" w:rsidP="00136905">
      <w:pPr>
        <w:spacing w:after="0"/>
        <w:jc w:val="both"/>
        <w:rPr>
          <w:rFonts w:ascii="Calibri" w:eastAsia="Calibri" w:hAnsi="Calibri" w:cstheme="minorHAnsi"/>
          <w:sz w:val="24"/>
          <w:szCs w:val="24"/>
        </w:rPr>
      </w:pPr>
      <w:r w:rsidRPr="00314FAF">
        <w:rPr>
          <w:rFonts w:ascii="Calibri" w:eastAsia="Calibri" w:hAnsi="Calibri" w:cstheme="minorHAnsi"/>
          <w:sz w:val="24"/>
          <w:szCs w:val="24"/>
        </w:rPr>
        <w:t xml:space="preserve">sustava </w:t>
      </w:r>
      <w:proofErr w:type="spellStart"/>
      <w:r w:rsidRPr="00314FAF">
        <w:rPr>
          <w:rFonts w:ascii="Calibri" w:eastAsia="Calibri" w:hAnsi="Calibri" w:cstheme="minorHAnsi"/>
          <w:sz w:val="24"/>
          <w:szCs w:val="24"/>
        </w:rPr>
        <w:t>eKohezija</w:t>
      </w:r>
      <w:proofErr w:type="spellEnd"/>
      <w:r w:rsidRPr="00314FAF">
        <w:rPr>
          <w:rFonts w:ascii="Calibri" w:eastAsia="Calibri" w:hAnsi="Calibri" w:cstheme="minorHAnsi"/>
          <w:sz w:val="24"/>
          <w:szCs w:val="24"/>
        </w:rPr>
        <w:t xml:space="preserve"> (upute za provedbu Ugovora). Predmetnim uputama može se pristupiti putem poveznice</w:t>
      </w:r>
    </w:p>
    <w:p w14:paraId="17800B11" w14:textId="77777777" w:rsidR="00136905" w:rsidRPr="00314FAF" w:rsidRDefault="00136905" w:rsidP="00136905">
      <w:pPr>
        <w:spacing w:after="0"/>
        <w:jc w:val="both"/>
        <w:rPr>
          <w:rFonts w:ascii="Calibri" w:eastAsia="Calibri" w:hAnsi="Calibri" w:cstheme="minorHAnsi"/>
          <w:sz w:val="24"/>
          <w:szCs w:val="24"/>
        </w:rPr>
      </w:pPr>
    </w:p>
    <w:p w14:paraId="26355309" w14:textId="77777777" w:rsidR="00136905" w:rsidRDefault="00136905" w:rsidP="00136905">
      <w:pPr>
        <w:rPr>
          <w:rStyle w:val="Hyperlink"/>
        </w:rPr>
      </w:pPr>
      <w:hyperlink r:id="rId9" w:history="1">
        <w:r w:rsidRPr="00314FAF">
          <w:rPr>
            <w:rStyle w:val="Hyperlink"/>
          </w:rPr>
          <w:t>https://eufondovi.gov.hr/wp-content/uploads/2023/11/Korisnicke-upute_prijava_V.1.0.pdf</w:t>
        </w:r>
      </w:hyperlink>
    </w:p>
    <w:p w14:paraId="7BDB0ADE" w14:textId="77777777" w:rsidR="00136905" w:rsidRDefault="00136905" w:rsidP="00136905">
      <w:pPr>
        <w:rPr>
          <w:rStyle w:val="Hyperlink"/>
        </w:rPr>
      </w:pPr>
    </w:p>
    <w:p w14:paraId="2699CBB7" w14:textId="77777777" w:rsidR="00136905" w:rsidRPr="00361EB7" w:rsidRDefault="00136905" w:rsidP="00136905">
      <w:pPr>
        <w:jc w:val="both"/>
        <w:rPr>
          <w:rFonts w:cstheme="minorHAnsi"/>
          <w:b/>
          <w:bCs/>
          <w:sz w:val="24"/>
          <w:szCs w:val="24"/>
        </w:rPr>
      </w:pPr>
      <w:r w:rsidRPr="00361EB7">
        <w:rPr>
          <w:rFonts w:cstheme="minorHAnsi"/>
          <w:b/>
          <w:bCs/>
          <w:sz w:val="24"/>
          <w:szCs w:val="24"/>
        </w:rPr>
        <w:t>mijenja se i glasi:</w:t>
      </w:r>
    </w:p>
    <w:p w14:paraId="46653470" w14:textId="46910E65" w:rsidR="00136905" w:rsidRPr="006234CD" w:rsidRDefault="00136905" w:rsidP="006234CD">
      <w:pPr>
        <w:jc w:val="both"/>
        <w:rPr>
          <w:sz w:val="24"/>
          <w:szCs w:val="24"/>
        </w:rPr>
      </w:pPr>
      <w:bookmarkStart w:id="12" w:name="_Hlk182214481"/>
      <w:r w:rsidRPr="006234CD">
        <w:rPr>
          <w:sz w:val="24"/>
          <w:szCs w:val="24"/>
        </w:rPr>
        <w:t>Na ovaj PDP primjenjuju se Korisničke uput</w:t>
      </w:r>
      <w:r w:rsidR="006234CD" w:rsidRPr="006234CD">
        <w:rPr>
          <w:sz w:val="24"/>
          <w:szCs w:val="24"/>
        </w:rPr>
        <w:t>e</w:t>
      </w:r>
      <w:r w:rsidRPr="006234CD">
        <w:rPr>
          <w:sz w:val="24"/>
          <w:szCs w:val="24"/>
        </w:rPr>
        <w:t xml:space="preserve"> za komponentu Platforme Fondovi EU za upravljanje fondovima kohezijske omotnice „</w:t>
      </w:r>
      <w:proofErr w:type="spellStart"/>
      <w:r w:rsidRPr="006234CD">
        <w:rPr>
          <w:sz w:val="24"/>
          <w:szCs w:val="24"/>
        </w:rPr>
        <w:t>eKohezija</w:t>
      </w:r>
      <w:proofErr w:type="spellEnd"/>
      <w:r w:rsidRPr="006234CD">
        <w:rPr>
          <w:sz w:val="24"/>
          <w:szCs w:val="24"/>
        </w:rPr>
        <w:t xml:space="preserve">“- prijavitelji objavljene na portalu </w:t>
      </w:r>
      <w:proofErr w:type="spellStart"/>
      <w:r w:rsidRPr="006234CD">
        <w:rPr>
          <w:sz w:val="24"/>
          <w:szCs w:val="24"/>
        </w:rPr>
        <w:t>eKohezija</w:t>
      </w:r>
      <w:proofErr w:type="spellEnd"/>
      <w:r w:rsidRPr="006234CD">
        <w:rPr>
          <w:sz w:val="24"/>
          <w:szCs w:val="24"/>
        </w:rPr>
        <w:t xml:space="preserve"> (Uput</w:t>
      </w:r>
      <w:r w:rsidR="000727A7">
        <w:rPr>
          <w:sz w:val="24"/>
          <w:szCs w:val="24"/>
        </w:rPr>
        <w:t>e</w:t>
      </w:r>
      <w:r w:rsidRPr="006234CD">
        <w:rPr>
          <w:sz w:val="24"/>
          <w:szCs w:val="24"/>
        </w:rPr>
        <w:t xml:space="preserve"> za korisnike sustava</w:t>
      </w:r>
      <w:r w:rsidR="006234CD" w:rsidRPr="006234CD">
        <w:rPr>
          <w:sz w:val="24"/>
          <w:szCs w:val="24"/>
        </w:rPr>
        <w:t>, a korist</w:t>
      </w:r>
      <w:r w:rsidR="003D1A24">
        <w:rPr>
          <w:sz w:val="24"/>
          <w:szCs w:val="24"/>
        </w:rPr>
        <w:t>e</w:t>
      </w:r>
      <w:r w:rsidR="006234CD" w:rsidRPr="006234CD">
        <w:rPr>
          <w:sz w:val="24"/>
          <w:szCs w:val="24"/>
        </w:rPr>
        <w:t xml:space="preserve"> se za prijavu u sustav i podnošenje projektnog prijedloga</w:t>
      </w:r>
      <w:r w:rsidRPr="006234CD">
        <w:rPr>
          <w:sz w:val="24"/>
          <w:szCs w:val="24"/>
        </w:rPr>
        <w:t>)</w:t>
      </w:r>
      <w:r w:rsidR="00746A6E" w:rsidRPr="006234CD">
        <w:rPr>
          <w:sz w:val="24"/>
          <w:szCs w:val="24"/>
        </w:rPr>
        <w:t xml:space="preserve"> i unutar spomenutog sustava </w:t>
      </w:r>
      <w:proofErr w:type="spellStart"/>
      <w:r w:rsidR="00746A6E" w:rsidRPr="006234CD">
        <w:rPr>
          <w:sz w:val="24"/>
          <w:szCs w:val="24"/>
        </w:rPr>
        <w:t>eKohezija</w:t>
      </w:r>
      <w:proofErr w:type="spellEnd"/>
      <w:r w:rsidRPr="006234CD">
        <w:rPr>
          <w:sz w:val="24"/>
          <w:szCs w:val="24"/>
        </w:rPr>
        <w:t xml:space="preserve">. Predmetnim uputama može se pristupiti putem poveznice </w:t>
      </w:r>
      <w:bookmarkStart w:id="13" w:name="_Hlk182214945"/>
      <w:r w:rsidRPr="006234CD">
        <w:rPr>
          <w:sz w:val="24"/>
          <w:szCs w:val="24"/>
        </w:rPr>
        <w:fldChar w:fldCharType="begin"/>
      </w:r>
      <w:r w:rsidRPr="006234CD">
        <w:rPr>
          <w:sz w:val="24"/>
          <w:szCs w:val="24"/>
        </w:rPr>
        <w:instrText>HYPERLINK "https://ekohezija.gov.hr/"</w:instrText>
      </w:r>
      <w:r w:rsidRPr="006234CD">
        <w:rPr>
          <w:sz w:val="24"/>
          <w:szCs w:val="24"/>
        </w:rPr>
      </w:r>
      <w:r w:rsidRPr="006234CD">
        <w:rPr>
          <w:sz w:val="24"/>
          <w:szCs w:val="24"/>
        </w:rPr>
        <w:fldChar w:fldCharType="separate"/>
      </w:r>
      <w:r w:rsidRPr="006234CD">
        <w:rPr>
          <w:rStyle w:val="Hyperlink"/>
          <w:sz w:val="24"/>
          <w:szCs w:val="24"/>
        </w:rPr>
        <w:t>https://ekohezija.gov.hr/</w:t>
      </w:r>
      <w:r w:rsidRPr="006234CD">
        <w:rPr>
          <w:sz w:val="24"/>
          <w:szCs w:val="24"/>
        </w:rPr>
        <w:fldChar w:fldCharType="end"/>
      </w:r>
    </w:p>
    <w:bookmarkEnd w:id="12"/>
    <w:bookmarkEnd w:id="13"/>
    <w:p w14:paraId="61C20382" w14:textId="77777777" w:rsidR="00361EB7" w:rsidRDefault="00361EB7"/>
    <w:sectPr w:rsidR="00361EB7" w:rsidSect="008E468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86FFE" w14:textId="77777777" w:rsidR="00361EB7" w:rsidRDefault="00361EB7" w:rsidP="00361EB7">
      <w:pPr>
        <w:spacing w:after="0" w:line="240" w:lineRule="auto"/>
      </w:pPr>
      <w:r>
        <w:separator/>
      </w:r>
    </w:p>
  </w:endnote>
  <w:endnote w:type="continuationSeparator" w:id="0">
    <w:p w14:paraId="6D98CCF6" w14:textId="77777777" w:rsidR="00361EB7" w:rsidRDefault="00361EB7" w:rsidP="0036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850012"/>
      <w:docPartObj>
        <w:docPartGallery w:val="Page Numbers (Bottom of Page)"/>
        <w:docPartUnique/>
      </w:docPartObj>
    </w:sdtPr>
    <w:sdtEndPr/>
    <w:sdtContent>
      <w:p w14:paraId="2D5BB8C0" w14:textId="675D15D7" w:rsidR="00DC78F8" w:rsidRDefault="00361EB7" w:rsidP="00D956D6">
        <w:pPr>
          <w:pStyle w:val="Footer"/>
        </w:pPr>
        <w:r>
          <w:rPr>
            <w:noProof/>
            <w:lang w:eastAsia="hr-HR"/>
          </w:rPr>
          <mc:AlternateContent>
            <mc:Choice Requires="wps">
              <w:drawing>
                <wp:anchor distT="0" distB="0" distL="114300" distR="114300" simplePos="0" relativeHeight="251659264" behindDoc="0" locked="0" layoutInCell="1" allowOverlap="1" wp14:anchorId="4283EFDB" wp14:editId="5A957B66">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0108F9D" w14:textId="77777777" w:rsidR="00DC78F8" w:rsidRDefault="00361E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12195F">
                                <w:rPr>
                                  <w:noProof/>
                                  <w:color w:val="ED7D31" w:themeColor="accent2"/>
                                </w:rPr>
                                <w:t>73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83EFDB"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0108F9D" w14:textId="77777777" w:rsidR="00DC78F8" w:rsidRDefault="00361E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12195F">
                          <w:rPr>
                            <w:noProof/>
                            <w:color w:val="ED7D31" w:themeColor="accent2"/>
                          </w:rPr>
                          <w:t>73</w:t>
                        </w:r>
                        <w:r>
                          <w:rPr>
                            <w:color w:val="ED7D31" w:themeColor="accent2"/>
                          </w:rPr>
                          <w:fldChar w:fldCharType="end"/>
                        </w:r>
                      </w:p>
                    </w:txbxContent>
                  </v:textbox>
                  <w10:wrap anchorx="margin" anchory="margin"/>
                </v:rect>
              </w:pict>
            </mc:Fallback>
          </mc:AlternateContent>
        </w:r>
        <w:r>
          <w:rPr>
            <w:noProof/>
          </w:rPr>
          <w:ptab w:relativeTo="margin" w:alignment="center" w:leader="none"/>
        </w:r>
        <w:r>
          <w:rPr>
            <w:noProof/>
          </w:rPr>
          <w:drawing>
            <wp:inline distT="0" distB="0" distL="0" distR="0" wp14:anchorId="791BC61F" wp14:editId="398C9E7B">
              <wp:extent cx="3291840" cy="487680"/>
              <wp:effectExtent l="0" t="0" r="3810" b="7620"/>
              <wp:docPr id="231193892" name="Picture 2" descr="Slika na kojoj se prikazuje tekst, Font, snimka zaslona,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13352" name="Picture 2" descr="Slika na kojoj se prikazuje tekst, Font, snimka zaslona,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9B6E1" w14:textId="77777777" w:rsidR="00361EB7" w:rsidRDefault="00361EB7" w:rsidP="00361EB7">
      <w:pPr>
        <w:spacing w:after="0" w:line="240" w:lineRule="auto"/>
      </w:pPr>
      <w:r>
        <w:separator/>
      </w:r>
    </w:p>
  </w:footnote>
  <w:footnote w:type="continuationSeparator" w:id="0">
    <w:p w14:paraId="70D199D7" w14:textId="77777777" w:rsidR="00361EB7" w:rsidRDefault="00361EB7" w:rsidP="00361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DFEC" w14:textId="6EC3FCB6" w:rsidR="00DC78F8" w:rsidRDefault="00361EB7" w:rsidP="001D7337">
    <w:pPr>
      <w:pStyle w:val="Header"/>
    </w:pPr>
    <w:r>
      <w:rPr>
        <w:noProof/>
      </w:rPr>
      <w:drawing>
        <wp:inline distT="0" distB="0" distL="0" distR="0" wp14:anchorId="6FC2CFEB" wp14:editId="1FAF69AD">
          <wp:extent cx="2171700" cy="649613"/>
          <wp:effectExtent l="0" t="0" r="0" b="0"/>
          <wp:docPr id="441258991" name="Picture 5" descr="A white rectangular sign with a red and white checke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3426" name="Picture 5" descr="A white rectangular sign with a red and white checkered shield&#10;&#10;Description automatically generated"/>
                  <pic:cNvPicPr/>
                </pic:nvPicPr>
                <pic:blipFill rotWithShape="1">
                  <a:blip r:embed="rId1">
                    <a:extLst>
                      <a:ext uri="{28A0092B-C50C-407E-A947-70E740481C1C}">
                        <a14:useLocalDpi xmlns:a14="http://schemas.microsoft.com/office/drawing/2010/main" val="0"/>
                      </a:ext>
                    </a:extLst>
                  </a:blip>
                  <a:srcRect l="17527" t="27889" r="6746" b="13330"/>
                  <a:stretch/>
                </pic:blipFill>
                <pic:spPr bwMode="auto">
                  <a:xfrm>
                    <a:off x="0" y="0"/>
                    <a:ext cx="2171700" cy="649613"/>
                  </a:xfrm>
                  <a:prstGeom prst="rect">
                    <a:avLst/>
                  </a:prstGeom>
                  <a:ln>
                    <a:noFill/>
                  </a:ln>
                  <a:extLst>
                    <a:ext uri="{53640926-AAD7-44D8-BBD7-CCE9431645EC}">
                      <a14:shadowObscured xmlns:a14="http://schemas.microsoft.com/office/drawing/2010/main"/>
                    </a:ext>
                  </a:extLst>
                </pic:spPr>
              </pic:pic>
            </a:graphicData>
          </a:graphic>
        </wp:inline>
      </w:drawing>
    </w:r>
  </w:p>
  <w:p w14:paraId="75C90B08" w14:textId="77777777" w:rsidR="00361EB7" w:rsidRPr="001D7337" w:rsidRDefault="00361EB7" w:rsidP="001D7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B1C"/>
    <w:multiLevelType w:val="hybridMultilevel"/>
    <w:tmpl w:val="DDCC5D3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5157E3"/>
    <w:multiLevelType w:val="hybridMultilevel"/>
    <w:tmpl w:val="BA2E00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D11318"/>
    <w:multiLevelType w:val="multilevel"/>
    <w:tmpl w:val="FE5A8BBC"/>
    <w:lvl w:ilvl="0">
      <w:start w:val="2021"/>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720"/>
      </w:pPr>
      <w:rPr>
        <w:rFonts w:hint="default"/>
        <w:color w:val="ED7D31" w:themeColor="accent2"/>
      </w:rPr>
    </w:lvl>
    <w:lvl w:ilvl="2">
      <w:start w:val="1"/>
      <w:numFmt w:val="decimal"/>
      <w:isLgl/>
      <w:lvlText w:val="%1.%2.%3."/>
      <w:lvlJc w:val="left"/>
      <w:pPr>
        <w:ind w:left="1440" w:hanging="1080"/>
      </w:pPr>
      <w:rPr>
        <w:rFonts w:hint="default"/>
        <w:color w:val="ED7D31" w:themeColor="accent2"/>
      </w:rPr>
    </w:lvl>
    <w:lvl w:ilvl="3">
      <w:start w:val="1"/>
      <w:numFmt w:val="decimal"/>
      <w:isLgl/>
      <w:lvlText w:val="%1.%2.%3.%4."/>
      <w:lvlJc w:val="left"/>
      <w:pPr>
        <w:ind w:left="1440" w:hanging="1080"/>
      </w:pPr>
      <w:rPr>
        <w:rFonts w:hint="default"/>
        <w:color w:val="ED7D31" w:themeColor="accent2"/>
      </w:rPr>
    </w:lvl>
    <w:lvl w:ilvl="4">
      <w:start w:val="1"/>
      <w:numFmt w:val="decimal"/>
      <w:isLgl/>
      <w:lvlText w:val="%1.%2.%3.%4.%5."/>
      <w:lvlJc w:val="left"/>
      <w:pPr>
        <w:ind w:left="1800" w:hanging="1440"/>
      </w:pPr>
      <w:rPr>
        <w:rFonts w:hint="default"/>
        <w:color w:val="ED7D31" w:themeColor="accent2"/>
      </w:rPr>
    </w:lvl>
    <w:lvl w:ilvl="5">
      <w:start w:val="1"/>
      <w:numFmt w:val="decimal"/>
      <w:isLgl/>
      <w:lvlText w:val="%1.%2.%3.%4.%5.%6."/>
      <w:lvlJc w:val="left"/>
      <w:pPr>
        <w:ind w:left="2160" w:hanging="1800"/>
      </w:pPr>
      <w:rPr>
        <w:rFonts w:hint="default"/>
        <w:color w:val="ED7D31" w:themeColor="accent2"/>
      </w:rPr>
    </w:lvl>
    <w:lvl w:ilvl="6">
      <w:start w:val="1"/>
      <w:numFmt w:val="decimal"/>
      <w:isLgl/>
      <w:lvlText w:val="%1.%2.%3.%4.%5.%6.%7."/>
      <w:lvlJc w:val="left"/>
      <w:pPr>
        <w:ind w:left="2520" w:hanging="2160"/>
      </w:pPr>
      <w:rPr>
        <w:rFonts w:hint="default"/>
        <w:color w:val="ED7D31" w:themeColor="accent2"/>
      </w:rPr>
    </w:lvl>
    <w:lvl w:ilvl="7">
      <w:start w:val="1"/>
      <w:numFmt w:val="decimal"/>
      <w:isLgl/>
      <w:lvlText w:val="%1.%2.%3.%4.%5.%6.%7.%8."/>
      <w:lvlJc w:val="left"/>
      <w:pPr>
        <w:ind w:left="2880" w:hanging="2520"/>
      </w:pPr>
      <w:rPr>
        <w:rFonts w:hint="default"/>
        <w:color w:val="ED7D31" w:themeColor="accent2"/>
      </w:rPr>
    </w:lvl>
    <w:lvl w:ilvl="8">
      <w:start w:val="1"/>
      <w:numFmt w:val="decimal"/>
      <w:isLgl/>
      <w:lvlText w:val="%1.%2.%3.%4.%5.%6.%7.%8.%9."/>
      <w:lvlJc w:val="left"/>
      <w:pPr>
        <w:ind w:left="2880" w:hanging="2520"/>
      </w:pPr>
      <w:rPr>
        <w:rFonts w:hint="default"/>
        <w:color w:val="ED7D31" w:themeColor="accent2"/>
      </w:rPr>
    </w:lvl>
  </w:abstractNum>
  <w:abstractNum w:abstractNumId="3" w15:restartNumberingAfterBreak="0">
    <w:nsid w:val="6CE32127"/>
    <w:multiLevelType w:val="hybridMultilevel"/>
    <w:tmpl w:val="C0DEA58E"/>
    <w:lvl w:ilvl="0" w:tplc="7E9CC2B8">
      <w:start w:val="3"/>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532574269">
    <w:abstractNumId w:val="1"/>
  </w:num>
  <w:num w:numId="2" w16cid:durableId="103186409">
    <w:abstractNumId w:val="2"/>
  </w:num>
  <w:num w:numId="3" w16cid:durableId="774517751">
    <w:abstractNumId w:val="3"/>
  </w:num>
  <w:num w:numId="4" w16cid:durableId="39277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zsa4VkQplFSr32KgJxQgV+vUjlHQy0YWWQ4eXGh6M08C8AtE/gxv4xHa+lsEVZNceKNvjbniJ39fujDADCKGLw==" w:salt="UpPvtGgPg0WUghumWj163w=="/>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B7"/>
    <w:rsid w:val="000727A7"/>
    <w:rsid w:val="00094BCF"/>
    <w:rsid w:val="000A1F0A"/>
    <w:rsid w:val="00136905"/>
    <w:rsid w:val="001E638A"/>
    <w:rsid w:val="001F32E9"/>
    <w:rsid w:val="00361EB7"/>
    <w:rsid w:val="003D1A24"/>
    <w:rsid w:val="0054162B"/>
    <w:rsid w:val="006234CD"/>
    <w:rsid w:val="006A6751"/>
    <w:rsid w:val="006F25F4"/>
    <w:rsid w:val="00746A6E"/>
    <w:rsid w:val="00783866"/>
    <w:rsid w:val="007E381D"/>
    <w:rsid w:val="008E4686"/>
    <w:rsid w:val="0092150E"/>
    <w:rsid w:val="009A755B"/>
    <w:rsid w:val="009B7EE7"/>
    <w:rsid w:val="00A903E2"/>
    <w:rsid w:val="00DC78F8"/>
    <w:rsid w:val="00FC1C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2A8E"/>
  <w15:chartTrackingRefBased/>
  <w15:docId w15:val="{3783A2AB-4F7B-4161-938A-BC479BCA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B7"/>
    <w:pPr>
      <w:spacing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361EB7"/>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361EB7"/>
    <w:pPr>
      <w:ind w:left="720"/>
      <w:contextualSpacing/>
    </w:pPr>
    <w:rPr>
      <w:rFonts w:eastAsiaTheme="minorHAnsi"/>
      <w:kern w:val="2"/>
      <w14:ligatures w14:val="standardContextual"/>
    </w:rPr>
  </w:style>
  <w:style w:type="character" w:customStyle="1" w:styleId="Bodytext28">
    <w:name w:val="Body text (2) + 8"/>
    <w:aliases w:val="5 pt,Body text + 6"/>
    <w:basedOn w:val="DefaultParagraphFont"/>
    <w:rsid w:val="00361EB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table" w:styleId="TableGrid">
    <w:name w:val="Table Grid"/>
    <w:basedOn w:val="TableNormal"/>
    <w:uiPriority w:val="59"/>
    <w:rsid w:val="00361EB7"/>
    <w:pPr>
      <w:spacing w:after="0" w:line="240" w:lineRule="auto"/>
    </w:pPr>
    <w:rPr>
      <w:rFonts w:eastAsiaTheme="minorEastAsia"/>
      <w:kern w:val="0"/>
      <w:sz w:val="21"/>
      <w:szCs w:val="21"/>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E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1EB7"/>
    <w:rPr>
      <w:rFonts w:eastAsiaTheme="minorEastAsia"/>
      <w:kern w:val="0"/>
      <w14:ligatures w14:val="none"/>
    </w:rPr>
  </w:style>
  <w:style w:type="paragraph" w:styleId="Footer">
    <w:name w:val="footer"/>
    <w:basedOn w:val="Normal"/>
    <w:link w:val="FooterChar"/>
    <w:uiPriority w:val="99"/>
    <w:unhideWhenUsed/>
    <w:rsid w:val="00361E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1EB7"/>
    <w:rPr>
      <w:rFonts w:eastAsiaTheme="minorEastAsia"/>
      <w:kern w:val="0"/>
      <w14:ligatures w14:val="none"/>
    </w:rPr>
  </w:style>
  <w:style w:type="character" w:styleId="Hyperlink">
    <w:name w:val="Hyperlink"/>
    <w:basedOn w:val="DefaultParagraphFont"/>
    <w:uiPriority w:val="99"/>
    <w:unhideWhenUsed/>
    <w:rsid w:val="00136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fondovi.gov.hr/wp-content/uploads/2023/11/Korisnicke-upute_prijava_V.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3240</Words>
  <Characters>18468</Characters>
  <Application>Microsoft Office Word</Application>
  <DocSecurity>8</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Ivana Pranić</cp:lastModifiedBy>
  <cp:revision>12</cp:revision>
  <cp:lastPrinted>2024-11-11T09:50:00Z</cp:lastPrinted>
  <dcterms:created xsi:type="dcterms:W3CDTF">2024-10-28T08:34:00Z</dcterms:created>
  <dcterms:modified xsi:type="dcterms:W3CDTF">2024-11-12T12:20:00Z</dcterms:modified>
</cp:coreProperties>
</file>