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text" w:horzAnchor="margin" w:tblpY="-4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7371"/>
      </w:tblGrid>
      <w:tr w:rsidR="00A523C6" w:rsidRPr="002C6D3D" w:rsidTr="00552337">
        <w:trPr>
          <w:trHeight w:val="557"/>
        </w:trPr>
        <w:tc>
          <w:tcPr>
            <w:tcW w:w="5637" w:type="dxa"/>
          </w:tcPr>
          <w:p w:rsidR="00A523C6" w:rsidRPr="002C6D3D" w:rsidRDefault="00A523C6" w:rsidP="005523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Ministarstvo rada i mirovinskoga sustava</w:t>
            </w:r>
          </w:p>
          <w:p w:rsidR="00A523C6" w:rsidRPr="002C6D3D" w:rsidRDefault="00A523C6" w:rsidP="005523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Uprava za upravljanje operativnim programima Europske unije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Sektor za pripremu i provedbu projekata Operativnog programa Učinkoviti ljudski potencijali 2014. – 2020. 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7371" w:type="dxa"/>
          </w:tcPr>
          <w:p w:rsidR="00A523C6" w:rsidRDefault="00A523C6" w:rsidP="005523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Otvoreni privremeni 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Poziv na dostavu projektnih prijedloga</w:t>
            </w:r>
          </w:p>
          <w:p w:rsidR="00A523C6" w:rsidRDefault="00A523C6" w:rsidP="005523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„Tematske mreže za društveno-ekonomski razvoj te promicanje </w:t>
            </w:r>
          </w:p>
          <w:p w:rsidR="00A523C6" w:rsidRDefault="00A523C6" w:rsidP="005523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socijalnog dijaloga u kontekstu unapređivanja uvjeta rada“</w:t>
            </w:r>
          </w:p>
          <w:p w:rsidR="00A523C6" w:rsidRPr="002C6D3D" w:rsidRDefault="00A523C6" w:rsidP="0055233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2C6D3D"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Broj Poziva: UP.0</w:t>
            </w:r>
            <w:r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  <w:t>4.2.1.06</w:t>
            </w:r>
          </w:p>
        </w:tc>
      </w:tr>
    </w:tbl>
    <w:p w:rsidR="00A523C6" w:rsidRDefault="00A523C6" w:rsidP="00A523C6"/>
    <w:p w:rsidR="00A523C6" w:rsidRDefault="00A523C6" w:rsidP="00A523C6"/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2C6D3D">
        <w:rPr>
          <w:rFonts w:ascii="Calibri" w:eastAsia="Calibri" w:hAnsi="Calibri" w:cs="Times New Roman"/>
          <w:color w:val="000000"/>
          <w:sz w:val="28"/>
          <w:szCs w:val="28"/>
        </w:rPr>
        <w:t>ODGOVORI NA PITANJA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2C6D3D">
        <w:rPr>
          <w:rFonts w:ascii="Calibri" w:eastAsia="Calibri" w:hAnsi="Calibri" w:cs="Times New Roman"/>
          <w:color w:val="000000"/>
          <w:sz w:val="24"/>
          <w:szCs w:val="24"/>
        </w:rPr>
        <w:t xml:space="preserve">vezana uz 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otvoreni privremeni </w:t>
      </w:r>
      <w:r w:rsidRPr="002C6D3D">
        <w:rPr>
          <w:rFonts w:ascii="Calibri" w:eastAsia="Calibri" w:hAnsi="Calibri" w:cs="Times New Roman"/>
          <w:color w:val="000000"/>
          <w:sz w:val="24"/>
          <w:szCs w:val="24"/>
        </w:rPr>
        <w:t>Poziv na dostavu projektnih prijedloga</w:t>
      </w: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UP.0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4</w:t>
      </w: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.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2</w:t>
      </w: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.1.0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6</w:t>
      </w:r>
      <w:r w:rsidRPr="002C6D3D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Tematske mreže za društveno-ekonomski razvoj te 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promicanje socijalnog dijaloga u kontekstu unapređivanja uvjeta rada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</w:rPr>
      </w:pP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proofErr w:type="spellStart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>esf.info</w:t>
      </w:r>
      <w:proofErr w:type="spellEnd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>@</w:t>
      </w:r>
      <w:proofErr w:type="spellStart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>mrms.hr</w:t>
      </w:r>
      <w:proofErr w:type="spellEnd"/>
      <w:r w:rsidRPr="002C6D3D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 </w:t>
      </w:r>
      <w:r w:rsidRPr="002C6D3D">
        <w:rPr>
          <w:rFonts w:ascii="Calibri" w:eastAsia="Calibri" w:hAnsi="Calibri" w:cs="Times New Roman"/>
          <w:i/>
          <w:iCs/>
          <w:sz w:val="24"/>
          <w:szCs w:val="24"/>
        </w:rPr>
        <w:t xml:space="preserve">od </w:t>
      </w:r>
      <w:r w:rsidR="00723742">
        <w:rPr>
          <w:rFonts w:ascii="Calibri" w:eastAsia="Calibri" w:hAnsi="Calibri" w:cs="Times New Roman"/>
          <w:i/>
          <w:iCs/>
          <w:sz w:val="24"/>
          <w:szCs w:val="24"/>
        </w:rPr>
        <w:t>18</w:t>
      </w:r>
      <w:r w:rsidRPr="002C6D3D">
        <w:rPr>
          <w:rFonts w:ascii="Calibri" w:eastAsia="Calibri" w:hAnsi="Calibri" w:cs="Times New Roman"/>
          <w:i/>
          <w:iCs/>
          <w:sz w:val="24"/>
          <w:szCs w:val="24"/>
        </w:rPr>
        <w:t xml:space="preserve">. </w:t>
      </w:r>
      <w:r w:rsidR="00723742">
        <w:rPr>
          <w:rFonts w:ascii="Calibri" w:eastAsia="Calibri" w:hAnsi="Calibri" w:cs="Times New Roman"/>
          <w:i/>
          <w:iCs/>
          <w:sz w:val="24"/>
          <w:szCs w:val="24"/>
        </w:rPr>
        <w:t>lipnja</w:t>
      </w:r>
      <w:r w:rsidRPr="002C6D3D">
        <w:rPr>
          <w:rFonts w:ascii="Calibri" w:eastAsia="Calibri" w:hAnsi="Calibri" w:cs="Times New Roman"/>
          <w:i/>
          <w:iCs/>
          <w:sz w:val="24"/>
          <w:szCs w:val="24"/>
        </w:rPr>
        <w:t xml:space="preserve"> </w:t>
      </w: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do </w:t>
      </w:r>
      <w:r w:rsidR="00723742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25</w:t>
      </w: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. </w:t>
      </w:r>
      <w:r w:rsidR="00723742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srpnja</w:t>
      </w:r>
      <w:r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 2018</w:t>
      </w:r>
      <w:r w:rsidRPr="002C6D3D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</w:t>
      </w:r>
      <w:r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 godine</w:t>
      </w:r>
    </w:p>
    <w:p w:rsidR="00A523C6" w:rsidRPr="002C6D3D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2C6D3D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 xml:space="preserve">mirovinskoga sustava </w:t>
      </w: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2C6D3D">
        <w:rPr>
          <w:rFonts w:ascii="Calibri" w:eastAsia="Calibri" w:hAnsi="Calibri" w:cs="Times New Roman"/>
          <w:color w:val="000000"/>
        </w:rPr>
        <w:t>u okviru ovog dokumenta, a čija je svrha pojasniti uvjete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 xml:space="preserve">natječajne dokumentacije, daje mišljenje o </w:t>
      </w:r>
    </w:p>
    <w:p w:rsidR="00A523C6" w:rsidRDefault="00A523C6" w:rsidP="00A523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2C6D3D">
        <w:rPr>
          <w:rFonts w:ascii="Calibri" w:eastAsia="Calibri" w:hAnsi="Calibri" w:cs="Times New Roman"/>
          <w:color w:val="000000"/>
        </w:rPr>
        <w:t>prihvatljivosti određenog prijavitelja,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 xml:space="preserve">projekta ili aktivnosti u okviru dostupnih informacija iz pitanja </w:t>
      </w:r>
    </w:p>
    <w:p w:rsidR="00D60763" w:rsidRPr="00B22D62" w:rsidRDefault="00A523C6" w:rsidP="007E2853">
      <w:pPr>
        <w:spacing w:after="0" w:line="240" w:lineRule="auto"/>
        <w:jc w:val="center"/>
        <w:rPr>
          <w:b/>
          <w:sz w:val="24"/>
        </w:rPr>
      </w:pPr>
      <w:r w:rsidRPr="002C6D3D">
        <w:rPr>
          <w:rFonts w:ascii="Calibri" w:eastAsia="Calibri" w:hAnsi="Calibri" w:cs="Times New Roman"/>
          <w:color w:val="000000"/>
        </w:rPr>
        <w:t>dostavljenih od strane</w:t>
      </w:r>
      <w:r>
        <w:rPr>
          <w:rFonts w:ascii="Calibri" w:eastAsia="Calibri" w:hAnsi="Calibri" w:cs="Times New Roman"/>
          <w:color w:val="000000"/>
        </w:rPr>
        <w:t xml:space="preserve"> </w:t>
      </w:r>
      <w:r w:rsidRPr="002C6D3D">
        <w:rPr>
          <w:rFonts w:ascii="Calibri" w:eastAsia="Calibri" w:hAnsi="Calibri" w:cs="Times New Roman"/>
          <w:color w:val="000000"/>
        </w:rPr>
        <w:t>potencijalnih prijavitelja.</w:t>
      </w:r>
    </w:p>
    <w:tbl>
      <w:tblPr>
        <w:tblStyle w:val="Reetkatablice"/>
        <w:tblpPr w:leftFromText="180" w:rightFromText="180" w:vertAnchor="text" w:horzAnchor="margin" w:tblpXSpec="center" w:tblpY="261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6663"/>
      </w:tblGrid>
      <w:tr w:rsidR="002B7A93" w:rsidTr="00084D96">
        <w:tc>
          <w:tcPr>
            <w:tcW w:w="534" w:type="dxa"/>
          </w:tcPr>
          <w:p w:rsidR="007E2853" w:rsidRPr="00AF1F5D" w:rsidRDefault="007E2853" w:rsidP="000205FE">
            <w:pPr>
              <w:jc w:val="center"/>
              <w:rPr>
                <w:b/>
              </w:rPr>
            </w:pPr>
            <w:r w:rsidRPr="00AF1F5D">
              <w:rPr>
                <w:b/>
              </w:rPr>
              <w:t>RB.</w:t>
            </w:r>
          </w:p>
        </w:tc>
        <w:tc>
          <w:tcPr>
            <w:tcW w:w="6945" w:type="dxa"/>
          </w:tcPr>
          <w:p w:rsidR="007E2853" w:rsidRPr="00AF1F5D" w:rsidRDefault="007E2853" w:rsidP="000205FE">
            <w:pPr>
              <w:jc w:val="center"/>
              <w:rPr>
                <w:b/>
              </w:rPr>
            </w:pPr>
            <w:r w:rsidRPr="00AF1F5D">
              <w:rPr>
                <w:b/>
              </w:rPr>
              <w:t>PITANJA</w:t>
            </w:r>
          </w:p>
        </w:tc>
        <w:tc>
          <w:tcPr>
            <w:tcW w:w="6663" w:type="dxa"/>
          </w:tcPr>
          <w:p w:rsidR="007E2853" w:rsidRPr="00AF1F5D" w:rsidRDefault="007E2853" w:rsidP="000205FE">
            <w:pPr>
              <w:jc w:val="center"/>
              <w:rPr>
                <w:b/>
              </w:rPr>
            </w:pPr>
            <w:r w:rsidRPr="00AF1F5D">
              <w:rPr>
                <w:b/>
              </w:rPr>
              <w:t>ODGOVOR</w:t>
            </w:r>
            <w:r w:rsidR="00BC51D8" w:rsidRPr="00AF1F5D">
              <w:rPr>
                <w:b/>
              </w:rPr>
              <w:t>I</w:t>
            </w:r>
          </w:p>
        </w:tc>
      </w:tr>
      <w:tr w:rsidR="007E2853" w:rsidTr="00084D96">
        <w:trPr>
          <w:trHeight w:val="277"/>
        </w:trPr>
        <w:tc>
          <w:tcPr>
            <w:tcW w:w="534" w:type="dxa"/>
          </w:tcPr>
          <w:p w:rsidR="007E2853" w:rsidRPr="00AF1F5D" w:rsidRDefault="007E2853" w:rsidP="000205FE">
            <w:pPr>
              <w:jc w:val="center"/>
            </w:pPr>
          </w:p>
        </w:tc>
        <w:tc>
          <w:tcPr>
            <w:tcW w:w="13608" w:type="dxa"/>
            <w:gridSpan w:val="2"/>
          </w:tcPr>
          <w:p w:rsidR="007E2853" w:rsidRPr="00AF1F5D" w:rsidRDefault="007E2853" w:rsidP="004C718F">
            <w:pPr>
              <w:jc w:val="center"/>
              <w:rPr>
                <w:i/>
              </w:rPr>
            </w:pPr>
            <w:r w:rsidRPr="00AF1F5D">
              <w:rPr>
                <w:b/>
                <w:i/>
              </w:rPr>
              <w:t>KOMPONENTA 1</w:t>
            </w:r>
          </w:p>
        </w:tc>
      </w:tr>
      <w:tr w:rsidR="00BC51D8" w:rsidTr="00084D96">
        <w:trPr>
          <w:trHeight w:val="2681"/>
        </w:trPr>
        <w:tc>
          <w:tcPr>
            <w:tcW w:w="534" w:type="dxa"/>
          </w:tcPr>
          <w:p w:rsidR="007E2853" w:rsidRDefault="007E2853" w:rsidP="000205FE">
            <w:pPr>
              <w:jc w:val="center"/>
            </w:pPr>
            <w:r>
              <w:t>1.</w:t>
            </w:r>
          </w:p>
        </w:tc>
        <w:tc>
          <w:tcPr>
            <w:tcW w:w="6945" w:type="dxa"/>
          </w:tcPr>
          <w:p w:rsidR="00084D96" w:rsidRDefault="00A12D5C" w:rsidP="00B96AC3">
            <w:pPr>
              <w:jc w:val="both"/>
            </w:pPr>
            <w:r>
              <w:t xml:space="preserve">a) </w:t>
            </w:r>
            <w:r w:rsidR="007E2853" w:rsidRPr="00B96AC3">
              <w:t>U U</w:t>
            </w:r>
            <w:r w:rsidR="00DD18F8">
              <w:t>putama za prijavitelje u točki 2.2.2 Prihvatljivi partneri</w:t>
            </w:r>
            <w:r w:rsidR="007E2853" w:rsidRPr="00B96AC3">
              <w:t xml:space="preserve"> kao prihvatljivi partneri navode se, između ostalih, jedinice lokalne i područne (regionalne) samouprave, Hrvatski zavod za zapošljavanje, centri za socijalnu skrb, javne ustanove i znanstvene organizacije te se za prihvatljive partnere navodi kako moraju z</w:t>
            </w:r>
            <w:r w:rsidR="00DD18F8">
              <w:t>adovoljavati i sljedeći uvjet: „</w:t>
            </w:r>
            <w:r w:rsidR="00C30850">
              <w:t>…</w:t>
            </w:r>
            <w:r w:rsidR="007E2853" w:rsidRPr="00B96AC3">
              <w:t>biti organizacija koja u svojem temeljnom aktu ima utvrđeno neprofitno djelovanje i registrirana je kao neprofitna organizacija što znači da je upisana u Registar neprofitnih organizacija i vodi trans</w:t>
            </w:r>
            <w:r w:rsidR="00DD18F8">
              <w:t>parentno financijsko poslovanje“</w:t>
            </w:r>
            <w:r w:rsidR="007E2853" w:rsidRPr="00B96AC3">
              <w:t>. S obzirom na to da su navedeni pravni oblici mahom proračunski ili izvanproračunski korisnici koji nisu i ne mogu biti upisani u Registar ne</w:t>
            </w:r>
            <w:r w:rsidR="00943F68">
              <w:t>profitnih organizacija, molimo V</w:t>
            </w:r>
            <w:r w:rsidR="007E2853" w:rsidRPr="00B96AC3">
              <w:t>as da jasnije specificirate da li se taj uvjet odnosi samo na one organizacije koje po svojem statusu mogu biti u Registr</w:t>
            </w:r>
            <w:r w:rsidR="007E2853">
              <w:t>u neprofitnih organizacija?</w:t>
            </w:r>
          </w:p>
          <w:p w:rsidR="007E2853" w:rsidRDefault="007E2853" w:rsidP="00B96AC3">
            <w:pPr>
              <w:jc w:val="both"/>
            </w:pPr>
          </w:p>
          <w:p w:rsidR="00C30850" w:rsidRDefault="00A12D5C" w:rsidP="00C30850">
            <w:pPr>
              <w:jc w:val="both"/>
            </w:pPr>
            <w:r>
              <w:t xml:space="preserve">b) </w:t>
            </w:r>
            <w:r w:rsidR="00C30850">
              <w:t>Nadalje, kao prihvatljivi partneri navedene su „</w:t>
            </w:r>
            <w:r w:rsidR="007E2853" w:rsidRPr="00B96AC3">
              <w:t xml:space="preserve">Organizacije civilnoga </w:t>
            </w:r>
            <w:r w:rsidR="007E2853" w:rsidRPr="00B96AC3">
              <w:lastRenderedPageBreak/>
              <w:t>društva (zaklade, pravna osoba vjerske</w:t>
            </w:r>
            <w:r w:rsidR="00C30850">
              <w:t xml:space="preserve"> zajednice, javne ustanove)“</w:t>
            </w:r>
            <w:r w:rsidR="007E2853" w:rsidRPr="00B96AC3">
              <w:t xml:space="preserve">. </w:t>
            </w:r>
            <w:r w:rsidR="00C30850">
              <w:t>No, n</w:t>
            </w:r>
            <w:r w:rsidR="007E2853" w:rsidRPr="00B96AC3">
              <w:t>apominjemo kako javne ustanove nisu organizacije civilnoga društva pa stoga molimo pojašnjenje ili ispravak ovog navoda.</w:t>
            </w:r>
            <w:r w:rsidR="00C30850">
              <w:t xml:space="preserve"> </w:t>
            </w:r>
          </w:p>
          <w:p w:rsidR="00C30850" w:rsidRDefault="00C30850" w:rsidP="00C30850">
            <w:pPr>
              <w:jc w:val="both"/>
            </w:pPr>
          </w:p>
          <w:p w:rsidR="007E2853" w:rsidRDefault="00A12D5C" w:rsidP="00651D57">
            <w:pPr>
              <w:jc w:val="both"/>
            </w:pPr>
            <w:r>
              <w:t xml:space="preserve">c) </w:t>
            </w:r>
            <w:r w:rsidR="00C30850">
              <w:t>Također, u istoj točki su kao prihvatljivi partneri</w:t>
            </w:r>
            <w:r w:rsidR="007E2853" w:rsidRPr="00B96AC3">
              <w:t xml:space="preserve"> navedene javne </w:t>
            </w:r>
            <w:r w:rsidR="00C30850">
              <w:t>ustanove</w:t>
            </w:r>
            <w:r w:rsidR="007E2853" w:rsidRPr="00B96AC3">
              <w:t>, a kao izvor provjere naveden</w:t>
            </w:r>
            <w:r w:rsidR="00C30850">
              <w:t xml:space="preserve"> je Sudski registar. O</w:t>
            </w:r>
            <w:r w:rsidR="007E2853" w:rsidRPr="00B96AC3">
              <w:t>bzirom na to d</w:t>
            </w:r>
            <w:r w:rsidR="00C30850">
              <w:t>a Sudski registar ne razlikuje „ustanove“ i „javne ustanove“</w:t>
            </w:r>
            <w:r w:rsidR="007E2853" w:rsidRPr="00B96AC3">
              <w:t xml:space="preserve">, </w:t>
            </w:r>
            <w:r w:rsidR="00C30850">
              <w:t>a Zakon o ustanovama razlikuje „ustanove“ i „javne ustanove“</w:t>
            </w:r>
            <w:r w:rsidR="007443D1">
              <w:t xml:space="preserve">, </w:t>
            </w:r>
            <w:r w:rsidR="007E2853" w:rsidRPr="00B96AC3">
              <w:t xml:space="preserve">na temelju kojeg dokumenta će se utvrđivati </w:t>
            </w:r>
            <w:r w:rsidR="00651D57">
              <w:t>je li</w:t>
            </w:r>
            <w:r w:rsidR="007E2853" w:rsidRPr="00B96AC3">
              <w:t xml:space="preserve"> partner javna ustanova ili ustanova?</w:t>
            </w:r>
          </w:p>
        </w:tc>
        <w:tc>
          <w:tcPr>
            <w:tcW w:w="6663" w:type="dxa"/>
          </w:tcPr>
          <w:p w:rsidR="007E2853" w:rsidRPr="002D001A" w:rsidRDefault="00A12D5C" w:rsidP="00C30850">
            <w:pPr>
              <w:jc w:val="both"/>
            </w:pPr>
            <w:r>
              <w:lastRenderedPageBreak/>
              <w:t xml:space="preserve">a) </w:t>
            </w:r>
            <w:r w:rsidR="007E2853" w:rsidRPr="002D001A">
              <w:t>Obveza upisa u Registar neprofitnih organizacija odnosi se na one pravne osobe</w:t>
            </w:r>
            <w:r w:rsidR="00C30850">
              <w:t>,</w:t>
            </w:r>
            <w:r w:rsidR="007E2853" w:rsidRPr="002D001A">
              <w:t xml:space="preserve"> odnosno organizacije za koje po zakonu postoji obveza upisa u RNO</w:t>
            </w:r>
            <w:r w:rsidR="00C30850">
              <w:t>. Isto je ispravljeno izmjenama natječajne dokumentacije</w:t>
            </w:r>
            <w:r w:rsidR="007E2853" w:rsidRPr="002D001A">
              <w:t xml:space="preserve"> objavljenim</w:t>
            </w:r>
            <w:r w:rsidR="00C30850">
              <w:t xml:space="preserve">a 20. srpnja </w:t>
            </w:r>
            <w:r w:rsidR="007E2853" w:rsidRPr="002D001A">
              <w:t>2018. godine.</w:t>
            </w:r>
          </w:p>
          <w:p w:rsidR="00C30850" w:rsidRDefault="00C30850" w:rsidP="000203FE"/>
          <w:p w:rsidR="007E2853" w:rsidRDefault="00A12D5C" w:rsidP="00A12D5C">
            <w:pPr>
              <w:jc w:val="both"/>
            </w:pPr>
            <w:r>
              <w:t>b) Isto je usklađeno izmjenama natječajne dokumentacije</w:t>
            </w:r>
            <w:r w:rsidR="007E2853">
              <w:t xml:space="preserve"> objavljenim</w:t>
            </w:r>
            <w:r>
              <w:t>a</w:t>
            </w:r>
            <w:r w:rsidR="007E2853">
              <w:t xml:space="preserve"> 20.</w:t>
            </w:r>
            <w:r>
              <w:t xml:space="preserve"> srpnja</w:t>
            </w:r>
            <w:r w:rsidR="00415256">
              <w:t xml:space="preserve"> </w:t>
            </w:r>
            <w:r w:rsidR="007E2853">
              <w:t>2018. godine.</w:t>
            </w:r>
          </w:p>
          <w:p w:rsidR="007E2853" w:rsidRDefault="007E2853" w:rsidP="000203FE"/>
          <w:p w:rsidR="007E2853" w:rsidRDefault="00A12D5C" w:rsidP="00651D57">
            <w:pPr>
              <w:jc w:val="both"/>
            </w:pPr>
            <w:r>
              <w:t>c)</w:t>
            </w:r>
            <w:r w:rsidR="007E2853">
              <w:t xml:space="preserve"> Je li partner javna ustanova utvrđivat će se uvido</w:t>
            </w:r>
            <w:r w:rsidR="00651D57">
              <w:t>m  u S</w:t>
            </w:r>
            <w:r w:rsidR="007E2853">
              <w:t>udski registar, na način da će se temeljem dostupnih podataka utvrđivati djelatnosti i osnivač, a navedene okolnosti će se prosuđivati temeljem</w:t>
            </w:r>
            <w:r w:rsidR="00651D57">
              <w:t xml:space="preserve"> </w:t>
            </w:r>
            <w:r w:rsidR="007E2853" w:rsidRPr="00B96AC3">
              <w:t>Zakon</w:t>
            </w:r>
            <w:r w:rsidR="007E2853">
              <w:t xml:space="preserve">a </w:t>
            </w:r>
            <w:r w:rsidR="007E2853" w:rsidRPr="00B96AC3">
              <w:t xml:space="preserve">o ustanovama </w:t>
            </w:r>
            <w:r w:rsidR="00651D57">
              <w:t>(</w:t>
            </w:r>
            <w:r w:rsidR="007E2853">
              <w:t xml:space="preserve">NN 76/93, 29/97, 47/99, 35/08). </w:t>
            </w:r>
          </w:p>
          <w:p w:rsidR="00084D96" w:rsidRDefault="00084D96" w:rsidP="00651D57">
            <w:pPr>
              <w:jc w:val="both"/>
            </w:pPr>
          </w:p>
          <w:p w:rsidR="00084D96" w:rsidRDefault="00084D96" w:rsidP="00651D57">
            <w:pPr>
              <w:jc w:val="both"/>
            </w:pPr>
          </w:p>
          <w:p w:rsidR="00084D96" w:rsidRDefault="00084D96" w:rsidP="00651D57">
            <w:pPr>
              <w:jc w:val="both"/>
            </w:pPr>
          </w:p>
        </w:tc>
      </w:tr>
      <w:tr w:rsidR="00084D96" w:rsidTr="00084D96">
        <w:tc>
          <w:tcPr>
            <w:tcW w:w="534" w:type="dxa"/>
          </w:tcPr>
          <w:p w:rsidR="00BC51D8" w:rsidRPr="003D5395" w:rsidRDefault="00BC51D8" w:rsidP="000205FE">
            <w:pPr>
              <w:jc w:val="center"/>
            </w:pPr>
            <w:r>
              <w:lastRenderedPageBreak/>
              <w:t>2.</w:t>
            </w:r>
          </w:p>
        </w:tc>
        <w:tc>
          <w:tcPr>
            <w:tcW w:w="6945" w:type="dxa"/>
          </w:tcPr>
          <w:p w:rsidR="00BC51D8" w:rsidRDefault="00B10B17" w:rsidP="003455F8">
            <w:pPr>
              <w:jc w:val="both"/>
            </w:pPr>
            <w:r>
              <w:t xml:space="preserve">Nakon komunikacije s većim brojem </w:t>
            </w:r>
            <w:r w:rsidR="00BC51D8">
              <w:t>organizacija civilnog društva, molimo V</w:t>
            </w:r>
            <w:r w:rsidR="0080127C">
              <w:t>as odgodu prijava projekta. O</w:t>
            </w:r>
            <w:r w:rsidR="00BC51D8">
              <w:t>bzirom na ljetne periode, nemoguće je ostvariti adekvatne koordinacijske sastanke velikog broja nužnih partnera. Zbog izostanaka i nemogućnosti usklađivanja radnih i godišnjih odmora, smatramo da se ne mogu prijaviti kvalitetni projekti</w:t>
            </w:r>
            <w:r w:rsidR="0080127C">
              <w:t>,</w:t>
            </w:r>
            <w:r w:rsidR="00BC51D8">
              <w:t xml:space="preserve"> a koji su nužni za sve potencijalne </w:t>
            </w:r>
            <w:r w:rsidR="0080127C">
              <w:t>korisnika</w:t>
            </w:r>
            <w:r w:rsidR="00BC51D8">
              <w:t>. Molimo Vas da razmotrite krajnji rok prijava.</w:t>
            </w:r>
          </w:p>
          <w:p w:rsidR="00BC51D8" w:rsidRPr="00676A1B" w:rsidRDefault="00BC51D8" w:rsidP="003455F8">
            <w:pPr>
              <w:jc w:val="both"/>
            </w:pPr>
          </w:p>
        </w:tc>
        <w:tc>
          <w:tcPr>
            <w:tcW w:w="6663" w:type="dxa"/>
          </w:tcPr>
          <w:p w:rsidR="00BC51D8" w:rsidRDefault="0080127C" w:rsidP="0080127C">
            <w:pPr>
              <w:jc w:val="both"/>
            </w:pPr>
            <w:r>
              <w:t>Izmjenama natječajne dokumentacije</w:t>
            </w:r>
            <w:r w:rsidR="00BC51D8">
              <w:t xml:space="preserve"> rok za podnošenje projektnih prijedloga produžen je do 15. listopada 2018. godine.</w:t>
            </w:r>
          </w:p>
        </w:tc>
      </w:tr>
      <w:tr w:rsidR="00084D96" w:rsidTr="00084D96">
        <w:tc>
          <w:tcPr>
            <w:tcW w:w="534" w:type="dxa"/>
          </w:tcPr>
          <w:p w:rsidR="00BC51D8" w:rsidRDefault="00BC51D8" w:rsidP="000205FE">
            <w:pPr>
              <w:jc w:val="center"/>
            </w:pPr>
            <w:r>
              <w:t>3.</w:t>
            </w:r>
          </w:p>
        </w:tc>
        <w:tc>
          <w:tcPr>
            <w:tcW w:w="6945" w:type="dxa"/>
          </w:tcPr>
          <w:p w:rsidR="00BC51D8" w:rsidRDefault="00BC51D8" w:rsidP="004F4678">
            <w:r>
              <w:t>Je li zaklada kao neprofitna organizacija civilnog društva prihvatljivi prijavitelj Komponente 1?</w:t>
            </w:r>
          </w:p>
          <w:p w:rsidR="00BC51D8" w:rsidRPr="008F6755" w:rsidRDefault="00BC51D8" w:rsidP="000205FE">
            <w:pPr>
              <w:jc w:val="both"/>
            </w:pPr>
          </w:p>
        </w:tc>
        <w:tc>
          <w:tcPr>
            <w:tcW w:w="6663" w:type="dxa"/>
          </w:tcPr>
          <w:p w:rsidR="00BC51D8" w:rsidRDefault="00BC51D8" w:rsidP="00DA6C39">
            <w:pPr>
              <w:jc w:val="both"/>
            </w:pPr>
            <w:r>
              <w:t xml:space="preserve">Ne, zaklada nije prihvatljivi prijavitelj za Komponentu 1. Prihvatljivi prijavitelji za Komponentu 1 su isključivo </w:t>
            </w:r>
            <w:r w:rsidR="00DA6C39" w:rsidRPr="00DA6C39">
              <w:rPr>
                <w:u w:val="single"/>
              </w:rPr>
              <w:t>udruge</w:t>
            </w:r>
            <w:r w:rsidRPr="00DA6C39">
              <w:t>,</w:t>
            </w:r>
            <w:r>
              <w:t xml:space="preserve"> a kako je izrijekom navedeno</w:t>
            </w:r>
            <w:r w:rsidR="00E16D7F">
              <w:t xml:space="preserve"> u Uputama za prijavitelje,</w:t>
            </w:r>
            <w:r>
              <w:t xml:space="preserve"> u točki 2.2.1 </w:t>
            </w:r>
            <w:r w:rsidRPr="00DA6C39">
              <w:t>Prihvatljivi prijavitelji</w:t>
            </w:r>
            <w:r>
              <w:t>.</w:t>
            </w:r>
            <w:r w:rsidR="00DA6C39">
              <w:t xml:space="preserve"> </w:t>
            </w:r>
            <w:r>
              <w:t xml:space="preserve">Zaklade su prihvatljivi partner u Komponenti 1 i Komponenti 2 sukladno </w:t>
            </w:r>
            <w:r w:rsidR="00E16D7F">
              <w:t xml:space="preserve">Uputama za prijavitelje, </w:t>
            </w:r>
            <w:r>
              <w:t xml:space="preserve">točki 2.2.2 </w:t>
            </w:r>
            <w:r w:rsidRPr="00DA6C39">
              <w:t>Prihvatljivi partneri</w:t>
            </w:r>
            <w:r w:rsidR="00E16D7F">
              <w:t>.</w:t>
            </w:r>
          </w:p>
          <w:p w:rsidR="00DF416A" w:rsidRDefault="00DF416A" w:rsidP="00DA6C39">
            <w:pPr>
              <w:jc w:val="both"/>
            </w:pPr>
          </w:p>
        </w:tc>
      </w:tr>
      <w:tr w:rsidR="00084D96" w:rsidTr="00084D96">
        <w:trPr>
          <w:trHeight w:val="1731"/>
        </w:trPr>
        <w:tc>
          <w:tcPr>
            <w:tcW w:w="534" w:type="dxa"/>
          </w:tcPr>
          <w:p w:rsidR="00BC51D8" w:rsidRDefault="00BC51D8" w:rsidP="000205FE">
            <w:pPr>
              <w:jc w:val="center"/>
            </w:pPr>
            <w:r>
              <w:t>4.</w:t>
            </w:r>
          </w:p>
        </w:tc>
        <w:tc>
          <w:tcPr>
            <w:tcW w:w="6945" w:type="dxa"/>
          </w:tcPr>
          <w:p w:rsidR="00BC51D8" w:rsidRPr="00D92D3C" w:rsidRDefault="00BC51D8" w:rsidP="00D92D3C">
            <w:pPr>
              <w:jc w:val="both"/>
            </w:pPr>
            <w:r w:rsidRPr="00D92D3C">
              <w:t>Je li prihvatljiv</w:t>
            </w:r>
            <w:r>
              <w:t xml:space="preserve"> trošak vezan za provedbu istraž</w:t>
            </w:r>
            <w:r w:rsidRPr="00D92D3C">
              <w:t>ivanja nadogradnja kompjuterskog programa potrebnog za pr</w:t>
            </w:r>
            <w:r>
              <w:t>ovođenje istraž</w:t>
            </w:r>
            <w:r w:rsidRPr="00D92D3C">
              <w:t>ivanja?</w:t>
            </w:r>
          </w:p>
          <w:p w:rsidR="00BC51D8" w:rsidRPr="00120CD0" w:rsidRDefault="00BC51D8" w:rsidP="000205FE">
            <w:pPr>
              <w:jc w:val="both"/>
            </w:pPr>
          </w:p>
        </w:tc>
        <w:tc>
          <w:tcPr>
            <w:tcW w:w="6663" w:type="dxa"/>
          </w:tcPr>
          <w:p w:rsidR="00BC51D8" w:rsidRDefault="00DF416A" w:rsidP="00E16D7F">
            <w:pPr>
              <w:jc w:val="both"/>
            </w:pPr>
            <w:r>
              <w:t>Sukladno izmjenama natječajne dokumentacije</w:t>
            </w:r>
            <w:r w:rsidR="00E16D7F">
              <w:t>, odnosno izmjenama Uputa za prijavitelje,</w:t>
            </w:r>
            <w:r>
              <w:t xml:space="preserve"> od 20. srpnja </w:t>
            </w:r>
            <w:r w:rsidR="00BC51D8" w:rsidRPr="000F087D">
              <w:t>2018.</w:t>
            </w:r>
            <w:r w:rsidR="00E16D7F">
              <w:t xml:space="preserve"> godine</w:t>
            </w:r>
            <w:r w:rsidR="00BC51D8" w:rsidRPr="000F087D">
              <w:t xml:space="preserve"> trošak nadogradnje </w:t>
            </w:r>
            <w:r w:rsidR="00BC51D8" w:rsidRPr="00D92D3C">
              <w:t>kompjuterskog programa potrebnog za pr</w:t>
            </w:r>
            <w:r w:rsidR="00BC51D8">
              <w:t>ovođenje istraž</w:t>
            </w:r>
            <w:r w:rsidR="00BC51D8" w:rsidRPr="00D92D3C">
              <w:t>ivanja</w:t>
            </w:r>
            <w:r w:rsidR="00BC51D8" w:rsidRPr="000F087D">
              <w:t xml:space="preserve"> smatra</w:t>
            </w:r>
            <w:r w:rsidR="00BC51D8">
              <w:t>t će</w:t>
            </w:r>
            <w:r w:rsidR="00BC51D8" w:rsidRPr="000F087D">
              <w:t xml:space="preserve"> se prihvatljivim </w:t>
            </w:r>
            <w:r w:rsidR="00BC51D8">
              <w:t xml:space="preserve">troškom i to </w:t>
            </w:r>
            <w:r w:rsidR="00BC51D8" w:rsidRPr="000F087D">
              <w:t>kao tro</w:t>
            </w:r>
            <w:r w:rsidR="00BC51D8">
              <w:t>šak</w:t>
            </w:r>
            <w:r w:rsidR="00BC51D8" w:rsidRPr="000F087D">
              <w:t xml:space="preserve"> nabave opreme</w:t>
            </w:r>
            <w:r w:rsidR="00BC51D8">
              <w:t xml:space="preserve">, </w:t>
            </w:r>
            <w:r w:rsidR="00BC51D8" w:rsidRPr="000F087D">
              <w:t>uzimajući u obzir ograničenje da ukupni trošak nabave opreme za provedbu projektnih aktivnosti u okviru ovog projekta ne smije premašiti 15% ukupnih prihvatljivih troškova projekta.</w:t>
            </w:r>
          </w:p>
          <w:p w:rsidR="00D8485D" w:rsidRPr="000F087D" w:rsidRDefault="00D8485D" w:rsidP="00E16D7F">
            <w:pPr>
              <w:jc w:val="both"/>
            </w:pPr>
          </w:p>
        </w:tc>
      </w:tr>
      <w:tr w:rsidR="00084D96" w:rsidTr="00084D96">
        <w:tc>
          <w:tcPr>
            <w:tcW w:w="534" w:type="dxa"/>
          </w:tcPr>
          <w:p w:rsidR="00BC51D8" w:rsidRPr="00797506" w:rsidRDefault="00BC51D8" w:rsidP="00F67FF4">
            <w:pPr>
              <w:jc w:val="center"/>
            </w:pPr>
            <w:r w:rsidRPr="00797506">
              <w:t>5.</w:t>
            </w:r>
          </w:p>
        </w:tc>
        <w:tc>
          <w:tcPr>
            <w:tcW w:w="6945" w:type="dxa"/>
          </w:tcPr>
          <w:p w:rsidR="00BC51D8" w:rsidRPr="00797506" w:rsidRDefault="00E16D7F" w:rsidP="00744E75">
            <w:pPr>
              <w:jc w:val="both"/>
            </w:pPr>
            <w:r>
              <w:t xml:space="preserve">a) </w:t>
            </w:r>
            <w:r w:rsidR="00BC51D8" w:rsidRPr="00797506">
              <w:t xml:space="preserve">Ulazi li u prihvatljive troškove i sudjelovanje na znanstvenim konferencijama? Ta se stavka ne nalazi na popisu prihvatljivih troškova, no </w:t>
            </w:r>
            <w:r w:rsidR="00BC51D8" w:rsidRPr="00797506">
              <w:lastRenderedPageBreak/>
              <w:t>smatramo kako bi bilo logično da se nađe, obzirom da je fokus natječaja na diseminaciju projektnih rezultata, što uključuje i diseminaciju rezultata istraživanja.</w:t>
            </w:r>
          </w:p>
          <w:p w:rsidR="00BC51D8" w:rsidRPr="00797506" w:rsidRDefault="00BC51D8" w:rsidP="00744E75">
            <w:pPr>
              <w:jc w:val="both"/>
            </w:pPr>
            <w:r w:rsidRPr="00797506">
              <w:t> </w:t>
            </w:r>
          </w:p>
          <w:p w:rsidR="00BC51D8" w:rsidRPr="00797506" w:rsidRDefault="003B033B" w:rsidP="00744E75">
            <w:pPr>
              <w:jc w:val="both"/>
            </w:pPr>
            <w:r>
              <w:t>b)</w:t>
            </w:r>
            <w:r w:rsidR="00BC51D8" w:rsidRPr="00797506">
              <w:t xml:space="preserve"> Također, mogu li se rezultati ispitivanja javnog mnijenja iz Elementa 3 koristiti kao podloga za znanstveno istraživanje u Elementu 4? </w:t>
            </w:r>
          </w:p>
          <w:p w:rsidR="00BC51D8" w:rsidRPr="00797506" w:rsidRDefault="00BC51D8" w:rsidP="00F67FF4">
            <w:pPr>
              <w:jc w:val="both"/>
            </w:pPr>
          </w:p>
        </w:tc>
        <w:tc>
          <w:tcPr>
            <w:tcW w:w="6663" w:type="dxa"/>
          </w:tcPr>
          <w:p w:rsidR="00BC51D8" w:rsidRPr="00797506" w:rsidRDefault="00E16D7F" w:rsidP="00E16D7F">
            <w:pPr>
              <w:jc w:val="both"/>
            </w:pPr>
            <w:r>
              <w:lastRenderedPageBreak/>
              <w:t>a)</w:t>
            </w:r>
            <w:r w:rsidR="00BC51D8" w:rsidRPr="00797506">
              <w:t xml:space="preserve"> Financir</w:t>
            </w:r>
            <w:r w:rsidR="003B033B">
              <w:t>anje sudjelovanja na znanstvenim</w:t>
            </w:r>
            <w:r w:rsidR="00BC51D8" w:rsidRPr="00797506">
              <w:t xml:space="preserve"> konferencijama je prihvatljiv </w:t>
            </w:r>
            <w:r>
              <w:t>trošak (ne ulazi u izravne troš</w:t>
            </w:r>
            <w:r w:rsidR="00BC51D8" w:rsidRPr="00797506">
              <w:t>k</w:t>
            </w:r>
            <w:r>
              <w:t>ove</w:t>
            </w:r>
            <w:r w:rsidR="00BC51D8" w:rsidRPr="00797506">
              <w:t xml:space="preserve">, već u ostale prihvatljive </w:t>
            </w:r>
            <w:r w:rsidR="00BC51D8" w:rsidRPr="00797506">
              <w:lastRenderedPageBreak/>
              <w:t>troškove</w:t>
            </w:r>
            <w:r>
              <w:t xml:space="preserve">, </w:t>
            </w:r>
            <w:r w:rsidR="00BC51D8" w:rsidRPr="00797506">
              <w:t>obzirom na to da su</w:t>
            </w:r>
            <w:r w:rsidR="00C37A51">
              <w:t xml:space="preserve"> u Uputama za prijavitelje, točki</w:t>
            </w:r>
            <w:r w:rsidR="00BC51D8" w:rsidRPr="00797506">
              <w:t xml:space="preserve"> 4.1.1 </w:t>
            </w:r>
            <w:r w:rsidR="00BC51D8" w:rsidRPr="00E16D7F">
              <w:t>Prihvatljivi izdaci</w:t>
            </w:r>
            <w:r>
              <w:t>,</w:t>
            </w:r>
            <w:r w:rsidR="00BC51D8" w:rsidRPr="00797506">
              <w:t xml:space="preserve"> u dijelu </w:t>
            </w:r>
            <w:r w:rsidR="00BC51D8" w:rsidRPr="003B033B">
              <w:t>Ostali izravni troškovi</w:t>
            </w:r>
            <w:r w:rsidR="00BC51D8" w:rsidRPr="00797506">
              <w:t>, kao prihvatljiv</w:t>
            </w:r>
            <w:r>
              <w:t xml:space="preserve"> trošak  u alineji 4 navedene „</w:t>
            </w:r>
            <w:r w:rsidR="00BC51D8" w:rsidRPr="00797506">
              <w:t>k</w:t>
            </w:r>
            <w:r w:rsidR="00BC51D8" w:rsidRPr="00797506">
              <w:rPr>
                <w:i/>
              </w:rPr>
              <w:t>otizacije za sudjelovanje u edukacijskim aktivnostima</w:t>
            </w:r>
            <w:r>
              <w:t>“</w:t>
            </w:r>
            <w:r w:rsidR="00C37A51">
              <w:t>)</w:t>
            </w:r>
            <w:r w:rsidR="00BC51D8" w:rsidRPr="00797506">
              <w:t>.</w:t>
            </w:r>
          </w:p>
          <w:p w:rsidR="00BC51D8" w:rsidRPr="00797506" w:rsidRDefault="00BC51D8" w:rsidP="005E72AF"/>
          <w:p w:rsidR="00BC51D8" w:rsidRDefault="003B033B" w:rsidP="003B033B">
            <w:pPr>
              <w:jc w:val="both"/>
            </w:pPr>
            <w:r>
              <w:t>b)</w:t>
            </w:r>
            <w:r w:rsidR="00BC51D8" w:rsidRPr="00797506">
              <w:t xml:space="preserve"> Prihvatljivo je rezultate ispitivanja javnog mnijenja iz Elementa 3 koristiti kao podlogu za znanstveno istraživanje u Elementu 4 ukoliko se oba elementa provode u okviru istog projekta.</w:t>
            </w:r>
          </w:p>
          <w:p w:rsidR="00D8485D" w:rsidRPr="00B56065" w:rsidRDefault="00D8485D" w:rsidP="003B033B">
            <w:pPr>
              <w:jc w:val="both"/>
              <w:rPr>
                <w:color w:val="FF0000"/>
              </w:rPr>
            </w:pPr>
          </w:p>
        </w:tc>
      </w:tr>
      <w:tr w:rsidR="00084D96" w:rsidTr="00084D96">
        <w:tc>
          <w:tcPr>
            <w:tcW w:w="534" w:type="dxa"/>
          </w:tcPr>
          <w:p w:rsidR="00BC51D8" w:rsidRDefault="00BC51D8" w:rsidP="000C7C2C">
            <w:pPr>
              <w:jc w:val="center"/>
            </w:pPr>
            <w:r>
              <w:lastRenderedPageBreak/>
              <w:t>6.</w:t>
            </w:r>
          </w:p>
        </w:tc>
        <w:tc>
          <w:tcPr>
            <w:tcW w:w="6945" w:type="dxa"/>
          </w:tcPr>
          <w:p w:rsidR="00BC51D8" w:rsidRPr="001520EC" w:rsidRDefault="003B033B" w:rsidP="001520EC">
            <w:pPr>
              <w:jc w:val="both"/>
              <w:rPr>
                <w:bCs/>
              </w:rPr>
            </w:pPr>
            <w:r>
              <w:rPr>
                <w:bCs/>
              </w:rPr>
              <w:t xml:space="preserve">a) </w:t>
            </w:r>
            <w:r w:rsidR="00BC51D8" w:rsidRPr="001520EC">
              <w:rPr>
                <w:bCs/>
              </w:rPr>
              <w:t>Vezano za Element 6, kako je mjerenje društv</w:t>
            </w:r>
            <w:r w:rsidR="00BC51D8">
              <w:rPr>
                <w:bCs/>
              </w:rPr>
              <w:t>enog utjecaja nerazvijeno područ</w:t>
            </w:r>
            <w:r w:rsidR="00BC51D8" w:rsidRPr="001520EC">
              <w:rPr>
                <w:bCs/>
              </w:rPr>
              <w:t>je u Hrvatskoj bez kapaciteta dionika i metoda</w:t>
            </w:r>
            <w:r w:rsidR="00BC51D8">
              <w:rPr>
                <w:bCs/>
              </w:rPr>
              <w:t xml:space="preserve"> u primjeni o č</w:t>
            </w:r>
            <w:r w:rsidR="00BC51D8" w:rsidRPr="001520EC">
              <w:rPr>
                <w:bCs/>
              </w:rPr>
              <w:t>emu s</w:t>
            </w:r>
            <w:r w:rsidR="00BC51D8">
              <w:rPr>
                <w:bCs/>
              </w:rPr>
              <w:t>vjedoči i nedavno istraživanje (</w:t>
            </w:r>
            <w:proofErr w:type="spellStart"/>
            <w:r w:rsidR="00BC51D8">
              <w:rPr>
                <w:bCs/>
              </w:rPr>
              <w:t>Baturina</w:t>
            </w:r>
            <w:proofErr w:type="spellEnd"/>
            <w:r w:rsidR="00BC51D8">
              <w:rPr>
                <w:bCs/>
              </w:rPr>
              <w:t>, 2016), mož</w:t>
            </w:r>
            <w:r w:rsidR="00BC51D8" w:rsidRPr="001520EC">
              <w:rPr>
                <w:bCs/>
              </w:rPr>
              <w:t>ete l</w:t>
            </w:r>
            <w:r w:rsidR="00BC51D8">
              <w:rPr>
                <w:bCs/>
              </w:rPr>
              <w:t>i pojasniti stavku 6? Naime</w:t>
            </w:r>
            <w:r>
              <w:rPr>
                <w:bCs/>
              </w:rPr>
              <w:t>,</w:t>
            </w:r>
            <w:r w:rsidR="00BC51D8">
              <w:rPr>
                <w:bCs/>
              </w:rPr>
              <w:t xml:space="preserve"> mož</w:t>
            </w:r>
            <w:r w:rsidR="00BC51D8" w:rsidRPr="001520EC">
              <w:rPr>
                <w:bCs/>
              </w:rPr>
              <w:t>e li se analiza društvenog utj</w:t>
            </w:r>
            <w:r w:rsidR="00BC51D8">
              <w:rPr>
                <w:bCs/>
              </w:rPr>
              <w:t>ecaja odnositi na primjenu određ</w:t>
            </w:r>
            <w:r w:rsidR="00BC51D8" w:rsidRPr="001520EC">
              <w:rPr>
                <w:bCs/>
              </w:rPr>
              <w:t>ene metodologije za šest nezavisnih mje</w:t>
            </w:r>
            <w:r w:rsidR="00BC51D8">
              <w:rPr>
                <w:bCs/>
              </w:rPr>
              <w:t>renja društvenog utjecaja različ</w:t>
            </w:r>
            <w:r w:rsidR="00BC51D8" w:rsidRPr="001520EC">
              <w:rPr>
                <w:bCs/>
              </w:rPr>
              <w:t>itih</w:t>
            </w:r>
            <w:r w:rsidR="00BC51D8">
              <w:rPr>
                <w:bCs/>
              </w:rPr>
              <w:t xml:space="preserve"> </w:t>
            </w:r>
            <w:r w:rsidR="00BC51D8" w:rsidRPr="001520EC">
              <w:rPr>
                <w:bCs/>
              </w:rPr>
              <w:t>organizacija civilnog, javno</w:t>
            </w:r>
            <w:r w:rsidR="00BC51D8">
              <w:rPr>
                <w:bCs/>
              </w:rPr>
              <w:t>g ili treć</w:t>
            </w:r>
            <w:r w:rsidR="00BC51D8" w:rsidRPr="001520EC">
              <w:rPr>
                <w:bCs/>
              </w:rPr>
              <w:t>eg sektora? </w:t>
            </w:r>
            <w:r w:rsidR="00BC51D8">
              <w:rPr>
                <w:bCs/>
              </w:rPr>
              <w:t>Ili se pak oč</w:t>
            </w:r>
            <w:r w:rsidR="00BC51D8" w:rsidRPr="001520EC">
              <w:rPr>
                <w:bCs/>
              </w:rPr>
              <w:t xml:space="preserve">ekuju mjerenja utjecaja intervencija u eksperimentalnom ili </w:t>
            </w:r>
            <w:proofErr w:type="spellStart"/>
            <w:r w:rsidR="00BC51D8" w:rsidRPr="001520EC">
              <w:rPr>
                <w:bCs/>
              </w:rPr>
              <w:t>kvazi</w:t>
            </w:r>
            <w:proofErr w:type="spellEnd"/>
            <w:r w:rsidR="00BC51D8" w:rsidRPr="001520EC">
              <w:rPr>
                <w:bCs/>
              </w:rPr>
              <w:t xml:space="preserve"> eksperiment</w:t>
            </w:r>
            <w:r w:rsidR="00BC51D8">
              <w:rPr>
                <w:bCs/>
              </w:rPr>
              <w:t>alnom dizajnu (ako da, kojih toč</w:t>
            </w:r>
            <w:r w:rsidR="00BC51D8" w:rsidRPr="001520EC">
              <w:rPr>
                <w:bCs/>
              </w:rPr>
              <w:t>no</w:t>
            </w:r>
            <w:r w:rsidR="00BC51D8">
              <w:rPr>
                <w:bCs/>
              </w:rPr>
              <w:t xml:space="preserve"> intervencija, kako ovaj natječ</w:t>
            </w:r>
            <w:r w:rsidR="00BC51D8" w:rsidRPr="001520EC">
              <w:rPr>
                <w:bCs/>
              </w:rPr>
              <w:t>aj nema inte</w:t>
            </w:r>
            <w:r w:rsidR="00BC51D8">
              <w:rPr>
                <w:bCs/>
              </w:rPr>
              <w:t>rvencije u aktivnostima). Tu držimo moguć</w:t>
            </w:r>
            <w:r w:rsidR="00BC51D8" w:rsidRPr="001520EC">
              <w:rPr>
                <w:bCs/>
              </w:rPr>
              <w:t xml:space="preserve">im tek napraviti </w:t>
            </w:r>
            <w:r w:rsidR="00BC51D8" w:rsidRPr="003B033B">
              <w:rPr>
                <w:bCs/>
                <w:i/>
              </w:rPr>
              <w:t>ex ante</w:t>
            </w:r>
            <w:r w:rsidR="00BC51D8" w:rsidRPr="001520EC">
              <w:rPr>
                <w:bCs/>
              </w:rPr>
              <w:t xml:space="preserve"> analize.</w:t>
            </w:r>
            <w:r w:rsidR="00BC51D8">
              <w:rPr>
                <w:bCs/>
              </w:rPr>
              <w:t xml:space="preserve"> </w:t>
            </w:r>
            <w:r w:rsidR="00BC51D8" w:rsidRPr="001520EC">
              <w:rPr>
                <w:bCs/>
              </w:rPr>
              <w:t>Ili se pak odnosi na makro analize društvenog utj</w:t>
            </w:r>
            <w:r w:rsidR="00BC51D8">
              <w:rPr>
                <w:bCs/>
              </w:rPr>
              <w:t>ecaja cijelih sektora ili područja (što drž</w:t>
            </w:r>
            <w:r w:rsidR="00BC51D8" w:rsidRPr="001520EC">
              <w:rPr>
                <w:bCs/>
              </w:rPr>
              <w:t>imo da je metodološki gotovo </w:t>
            </w:r>
            <w:r w:rsidR="00BC51D8">
              <w:rPr>
                <w:bCs/>
              </w:rPr>
              <w:t>neizvedivo; za primjer mož</w:t>
            </w:r>
            <w:r w:rsidR="00BC51D8" w:rsidRPr="001520EC">
              <w:rPr>
                <w:bCs/>
              </w:rPr>
              <w:t>ete pogledati rezultate FP7 projekta koji</w:t>
            </w:r>
            <w:r w:rsidR="00BC51D8">
              <w:rPr>
                <w:bCs/>
              </w:rPr>
              <w:t xml:space="preserve"> je to pokušao napraviti za treć</w:t>
            </w:r>
            <w:r w:rsidR="00BC51D8" w:rsidRPr="001520EC">
              <w:rPr>
                <w:bCs/>
              </w:rPr>
              <w:t>i sektor na razini Europe - </w:t>
            </w:r>
            <w:hyperlink r:id="rId8" w:history="1">
              <w:r w:rsidR="00BC51D8" w:rsidRPr="001520EC">
                <w:rPr>
                  <w:rStyle w:val="Hiperveza"/>
                  <w:bCs/>
                </w:rPr>
                <w:t>https://thirdsectorimpact.eu/</w:t>
              </w:r>
            </w:hyperlink>
            <w:r w:rsidR="00BC51D8">
              <w:rPr>
                <w:bCs/>
              </w:rPr>
              <w:t>. Isto tako</w:t>
            </w:r>
            <w:r>
              <w:rPr>
                <w:bCs/>
              </w:rPr>
              <w:t>,</w:t>
            </w:r>
            <w:r w:rsidR="00BC51D8">
              <w:rPr>
                <w:bCs/>
              </w:rPr>
              <w:t xml:space="preserve"> mož</w:t>
            </w:r>
            <w:r w:rsidR="00BC51D8" w:rsidRPr="001520EC">
              <w:rPr>
                <w:bCs/>
              </w:rPr>
              <w:t xml:space="preserve">e </w:t>
            </w:r>
            <w:r w:rsidR="00BC51D8">
              <w:rPr>
                <w:bCs/>
              </w:rPr>
              <w:t>li se analizirati društveni utjecaj određ</w:t>
            </w:r>
            <w:r w:rsidR="00BC51D8" w:rsidRPr="001520EC">
              <w:rPr>
                <w:bCs/>
              </w:rPr>
              <w:t>enih sektorskih politika ili programa? </w:t>
            </w:r>
          </w:p>
          <w:p w:rsidR="00BC51D8" w:rsidRPr="00797506" w:rsidRDefault="00BC51D8" w:rsidP="001520EC">
            <w:pPr>
              <w:jc w:val="both"/>
              <w:rPr>
                <w:bCs/>
              </w:rPr>
            </w:pPr>
            <w:r w:rsidRPr="00797506">
              <w:rPr>
                <w:bCs/>
              </w:rPr>
              <w:t> </w:t>
            </w:r>
          </w:p>
          <w:p w:rsidR="00BC51D8" w:rsidRPr="00797506" w:rsidRDefault="003B033B" w:rsidP="001520EC">
            <w:pPr>
              <w:jc w:val="both"/>
              <w:rPr>
                <w:bCs/>
              </w:rPr>
            </w:pPr>
            <w:r>
              <w:rPr>
                <w:bCs/>
              </w:rPr>
              <w:t>b) M</w:t>
            </w:r>
            <w:r w:rsidR="00BC51D8" w:rsidRPr="00797506">
              <w:rPr>
                <w:bCs/>
              </w:rPr>
              <w:t xml:space="preserve">olimo da nam pojasnite zbog čega znanstvene konferencije nisu </w:t>
            </w:r>
            <w:proofErr w:type="spellStart"/>
            <w:r w:rsidR="00BC51D8" w:rsidRPr="00797506">
              <w:rPr>
                <w:bCs/>
              </w:rPr>
              <w:t>izaberive</w:t>
            </w:r>
            <w:proofErr w:type="spellEnd"/>
            <w:r w:rsidR="00BC51D8" w:rsidRPr="00797506">
              <w:rPr>
                <w:bCs/>
              </w:rPr>
              <w:t xml:space="preserve"> kao izravni trošak? Naime, dobar dio aktivnosti je istraživačke prirode, pokazatelji se tiču objave znanstvenih članaka, a znanstvene konferencije su upravo mjesto gdje istraživači prezentiranjem svojih rezultata dobivaju povratnu informaciju koja im pomaže u pisanju članaka (aktivnost priprema i pisanje znanstvenog rada) i </w:t>
            </w:r>
            <w:proofErr w:type="spellStart"/>
            <w:r w:rsidR="00BC51D8" w:rsidRPr="00797506">
              <w:rPr>
                <w:bCs/>
              </w:rPr>
              <w:t>diseminiranju</w:t>
            </w:r>
            <w:proofErr w:type="spellEnd"/>
            <w:r w:rsidR="00BC51D8" w:rsidRPr="00797506">
              <w:rPr>
                <w:bCs/>
              </w:rPr>
              <w:t xml:space="preserve"> njihovih rezultata (promidžba i vidljivost). </w:t>
            </w:r>
          </w:p>
          <w:p w:rsidR="00BC51D8" w:rsidRPr="00A02BB6" w:rsidRDefault="00BC51D8" w:rsidP="000C7C2C">
            <w:pPr>
              <w:jc w:val="both"/>
              <w:rPr>
                <w:bCs/>
              </w:rPr>
            </w:pPr>
          </w:p>
        </w:tc>
        <w:tc>
          <w:tcPr>
            <w:tcW w:w="6663" w:type="dxa"/>
          </w:tcPr>
          <w:p w:rsidR="00BC51D8" w:rsidRPr="003B033B" w:rsidRDefault="003B033B" w:rsidP="003B033B">
            <w:pPr>
              <w:jc w:val="both"/>
              <w:rPr>
                <w:bCs/>
              </w:rPr>
            </w:pPr>
            <w:r>
              <w:t xml:space="preserve">a) </w:t>
            </w:r>
            <w:r w:rsidR="00BC51D8" w:rsidRPr="00F14DA8">
              <w:t xml:space="preserve">Može se izvršiti analiza društvenog utjecaja određenih sektorskih politika ili programa. Nije predviđeno da se analizu društvenog utjecaja provodi u eksperimentalnom ili </w:t>
            </w:r>
            <w:proofErr w:type="spellStart"/>
            <w:r w:rsidR="00BC51D8" w:rsidRPr="00F14DA8">
              <w:t>kvazi</w:t>
            </w:r>
            <w:proofErr w:type="spellEnd"/>
            <w:r w:rsidR="00BC51D8" w:rsidRPr="00F14DA8">
              <w:t xml:space="preserve"> eksperimentalnom dizajnu. </w:t>
            </w:r>
          </w:p>
          <w:p w:rsidR="00BC51D8" w:rsidRPr="00F14DA8" w:rsidRDefault="00BC51D8" w:rsidP="005E72AF"/>
          <w:p w:rsidR="00BC51D8" w:rsidRPr="00F14DA8" w:rsidRDefault="003B033B" w:rsidP="003B033B">
            <w:pPr>
              <w:jc w:val="both"/>
            </w:pPr>
            <w:r>
              <w:t>b)</w:t>
            </w:r>
            <w:r w:rsidR="00BC51D8" w:rsidRPr="00F14DA8">
              <w:t xml:space="preserve"> </w:t>
            </w:r>
            <w:r w:rsidR="00BC51D8" w:rsidRPr="00F14DA8">
              <w:rPr>
                <w:bCs/>
              </w:rPr>
              <w:t xml:space="preserve">Izravni troškovi taksativno su navedeni u </w:t>
            </w:r>
            <w:r>
              <w:rPr>
                <w:bCs/>
              </w:rPr>
              <w:t xml:space="preserve">Uputama za prijavitelje, u </w:t>
            </w:r>
            <w:r w:rsidR="00BC51D8" w:rsidRPr="00F14DA8">
              <w:rPr>
                <w:bCs/>
              </w:rPr>
              <w:t xml:space="preserve">točki 4.1.1 </w:t>
            </w:r>
            <w:r w:rsidR="00BC51D8" w:rsidRPr="003B033B">
              <w:rPr>
                <w:bCs/>
              </w:rPr>
              <w:t>Prihvatljivi izdaci</w:t>
            </w:r>
            <w:r>
              <w:rPr>
                <w:bCs/>
              </w:rPr>
              <w:t>,</w:t>
            </w:r>
            <w:r w:rsidR="00BC51D8" w:rsidRPr="00F14DA8">
              <w:rPr>
                <w:bCs/>
              </w:rPr>
              <w:t xml:space="preserve"> te je lista tih troškova zatvorena, pa pod izravne troškove nije moguće dodavati bilo koje druge troškova osim onih izrijekom na</w:t>
            </w:r>
            <w:r>
              <w:rPr>
                <w:bCs/>
              </w:rPr>
              <w:t>vedenih u predmetnoj točki Uputa za prijavitelje</w:t>
            </w:r>
            <w:r w:rsidR="00BC51D8" w:rsidRPr="00F14DA8">
              <w:rPr>
                <w:bCs/>
              </w:rPr>
              <w:t xml:space="preserve">.  </w:t>
            </w:r>
          </w:p>
        </w:tc>
      </w:tr>
      <w:tr w:rsidR="00084D96" w:rsidTr="00084D96">
        <w:tc>
          <w:tcPr>
            <w:tcW w:w="534" w:type="dxa"/>
          </w:tcPr>
          <w:p w:rsidR="00BC51D8" w:rsidRDefault="00BC51D8" w:rsidP="000C7C2C">
            <w:pPr>
              <w:jc w:val="center"/>
            </w:pPr>
            <w:r>
              <w:lastRenderedPageBreak/>
              <w:t>7.</w:t>
            </w:r>
          </w:p>
        </w:tc>
        <w:tc>
          <w:tcPr>
            <w:tcW w:w="6945" w:type="dxa"/>
          </w:tcPr>
          <w:p w:rsidR="00BC51D8" w:rsidRDefault="00BC51D8" w:rsidP="00C95A11">
            <w:pPr>
              <w:jc w:val="both"/>
            </w:pPr>
            <w:r>
              <w:t xml:space="preserve"> Jesu li privatne znanstvene organizacije prihvatljivi partneri, odnosno mogu l</w:t>
            </w:r>
            <w:r w:rsidR="004E55D8">
              <w:t>i ispuniti uvjet iz točke 2.2.2</w:t>
            </w:r>
            <w:r>
              <w:t xml:space="preserve"> </w:t>
            </w:r>
            <w:r w:rsidR="004E55D8">
              <w:t>Uputa za prijavitelje</w:t>
            </w:r>
            <w:r>
              <w:t xml:space="preserve"> koja definira da u projektnom konzorciju mora biti minimalno jedna znanstvena organizacija? Nužnost uključivanja znanstvenih organizacija u projektne konzorcije je neupitna za realizaciju definiranih ciljeva Poziva, no ne vidimo na koji način vlasnička struktura pojedine znanstvene organizacije može utjecati - bilo pozitivno, bilo negativno - na rezultate projekata, odnosno na ostvarivanje ciljeva Poziva na dostavu projekata. Stoga apeliramo na promjenu natječajne dokumentacije i omogućavanje privatnim znanstvenim organizacijama ravnopravno sudjelovanje u ovom natječaju.</w:t>
            </w:r>
          </w:p>
          <w:p w:rsidR="00BC51D8" w:rsidRPr="00A02BB6" w:rsidRDefault="00BC51D8" w:rsidP="000C7C2C">
            <w:pPr>
              <w:jc w:val="both"/>
              <w:rPr>
                <w:bCs/>
              </w:rPr>
            </w:pPr>
          </w:p>
        </w:tc>
        <w:tc>
          <w:tcPr>
            <w:tcW w:w="6663" w:type="dxa"/>
          </w:tcPr>
          <w:p w:rsidR="00BC51D8" w:rsidRPr="005622B4" w:rsidRDefault="00BC51D8" w:rsidP="005622B4">
            <w:pPr>
              <w:jc w:val="both"/>
            </w:pPr>
            <w:r>
              <w:t>Ne, u Komponenti 1 obvezno je partnerstvo s najmanje jednom javnom znanstvenom organizacijom.</w:t>
            </w:r>
            <w:r w:rsidR="004E55D8">
              <w:t xml:space="preserve"> </w:t>
            </w:r>
            <w:r>
              <w:t xml:space="preserve">Naime, prihvatljivi partneri su </w:t>
            </w:r>
            <w:r w:rsidR="004E55D8">
              <w:rPr>
                <w:u w:val="single"/>
              </w:rPr>
              <w:t>SVE</w:t>
            </w:r>
            <w:r>
              <w:t xml:space="preserve"> znanstvene organizacije </w:t>
            </w:r>
            <w:r w:rsidRPr="005622B4">
              <w:t xml:space="preserve"> upisane u </w:t>
            </w:r>
            <w:r>
              <w:t>U</w:t>
            </w:r>
            <w:r w:rsidRPr="005622B4">
              <w:t>pisnik</w:t>
            </w:r>
            <w:r>
              <w:t xml:space="preserve"> </w:t>
            </w:r>
            <w:r w:rsidRPr="005622B4">
              <w:t xml:space="preserve">znanstvenih organizacija </w:t>
            </w:r>
            <w:r>
              <w:t xml:space="preserve"> Ministarstva znanosti i obra</w:t>
            </w:r>
            <w:r w:rsidR="004E55D8">
              <w:t>zovanja i u Sudski registar, ali</w:t>
            </w:r>
            <w:r>
              <w:t xml:space="preserve"> p</w:t>
            </w:r>
            <w:r w:rsidRPr="005622B4">
              <w:t>artner na projektu</w:t>
            </w:r>
            <w:r>
              <w:t xml:space="preserve"> koji se prijavljuje u Komponenti 1</w:t>
            </w:r>
            <w:r w:rsidRPr="005622B4">
              <w:t xml:space="preserve"> </w:t>
            </w:r>
            <w:r w:rsidRPr="005622B4">
              <w:rPr>
                <w:u w:val="single"/>
              </w:rPr>
              <w:t xml:space="preserve">mora biti (uz minimalno sedam udruga) i najmanje jedna </w:t>
            </w:r>
            <w:r w:rsidRPr="005622B4">
              <w:rPr>
                <w:b/>
                <w:u w:val="single"/>
              </w:rPr>
              <w:t>javna znanstvena organizacija</w:t>
            </w:r>
            <w:r>
              <w:t xml:space="preserve">, a kako je izrijekom propisano </w:t>
            </w:r>
            <w:r w:rsidR="004E55D8">
              <w:t xml:space="preserve">Uputama za prijavitelje, </w:t>
            </w:r>
            <w:r>
              <w:t xml:space="preserve">u točki 2.2.2 </w:t>
            </w:r>
            <w:r w:rsidRPr="004E55D8">
              <w:t>Prihvatlj</w:t>
            </w:r>
            <w:r w:rsidR="004E55D8" w:rsidRPr="004E55D8">
              <w:t>ivi partneri</w:t>
            </w:r>
            <w:r w:rsidR="004E55D8">
              <w:t>.</w:t>
            </w:r>
            <w:r>
              <w:t xml:space="preserve"> </w:t>
            </w:r>
          </w:p>
          <w:p w:rsidR="00BC51D8" w:rsidRDefault="00BC51D8" w:rsidP="005622B4"/>
        </w:tc>
      </w:tr>
      <w:tr w:rsidR="00084D96" w:rsidTr="00084D96">
        <w:tc>
          <w:tcPr>
            <w:tcW w:w="534" w:type="dxa"/>
          </w:tcPr>
          <w:p w:rsidR="00BC51D8" w:rsidRDefault="004268F2" w:rsidP="000C7C2C">
            <w:pPr>
              <w:jc w:val="center"/>
            </w:pPr>
            <w:r>
              <w:t>8</w:t>
            </w:r>
            <w:r w:rsidR="00BC51D8">
              <w:t>.</w:t>
            </w:r>
          </w:p>
        </w:tc>
        <w:tc>
          <w:tcPr>
            <w:tcW w:w="6945" w:type="dxa"/>
          </w:tcPr>
          <w:p w:rsidR="00BC51D8" w:rsidRPr="00B154CC" w:rsidRDefault="004268F2" w:rsidP="007C2E12">
            <w:pPr>
              <w:jc w:val="both"/>
            </w:pPr>
            <w:r>
              <w:t xml:space="preserve">a) </w:t>
            </w:r>
            <w:r w:rsidR="00BC51D8" w:rsidRPr="00B154CC">
              <w:t>U Uputama za prijavitelje za Komponentu 1 navodi se da projektni prijedlog mora biti podnesen u partnerstvu prijavitelja s najmanje jednom javnom znanstvenom organizacijom (znanstveni instituti, visoka učilišta, sveučilišta, fakulteti, akademije, odjeli, visoke škole, veleučilišta) te s najma</w:t>
            </w:r>
            <w:r w:rsidR="00BD09A5">
              <w:t>nje 7 udruga. Na što se odnosi „odjeli“</w:t>
            </w:r>
            <w:r w:rsidR="00BC51D8" w:rsidRPr="00B154CC">
              <w:t>, odnosno jesu li pojedinačni odsjeci na nekom fakultetu prihvatljivi kao partneri?</w:t>
            </w:r>
          </w:p>
          <w:p w:rsidR="00BC51D8" w:rsidRPr="007C2E12" w:rsidRDefault="00BC51D8" w:rsidP="007C2E12">
            <w:pPr>
              <w:jc w:val="both"/>
            </w:pPr>
          </w:p>
          <w:p w:rsidR="00BC51D8" w:rsidRPr="00B154CC" w:rsidRDefault="00BD09A5" w:rsidP="007C2E12">
            <w:pPr>
              <w:jc w:val="both"/>
            </w:pPr>
            <w:r>
              <w:t>b) U</w:t>
            </w:r>
            <w:r w:rsidR="00BC51D8" w:rsidRPr="00B154CC">
              <w:t xml:space="preserve"> Uputama za prijavitelje definirano je da</w:t>
            </w:r>
            <w:r w:rsidR="00BC51D8" w:rsidRPr="00B154CC">
              <w:rPr>
                <w:b/>
                <w:bCs/>
              </w:rPr>
              <w:t xml:space="preserve"> </w:t>
            </w:r>
            <w:r w:rsidR="00BC51D8" w:rsidRPr="00B154CC">
              <w:t>partneri mog</w:t>
            </w:r>
            <w:r>
              <w:t xml:space="preserve">u sudjelovati u dvije prijave. </w:t>
            </w:r>
            <w:r w:rsidR="00BC51D8" w:rsidRPr="00B154CC">
              <w:t>Nastavno na navedeno, može li fakultet/znanstvena organizacija s više odjela/odsjeka sudjelovati sa svakim odjelom/odsjekom u dvije prijave, odnosno može li fakultet/znanstvena organizacija partnerski podržati u tom slučaju više od dvije prijave?</w:t>
            </w:r>
          </w:p>
          <w:p w:rsidR="00BC51D8" w:rsidRDefault="00BC51D8" w:rsidP="00B5603E"/>
        </w:tc>
        <w:tc>
          <w:tcPr>
            <w:tcW w:w="6663" w:type="dxa"/>
          </w:tcPr>
          <w:p w:rsidR="00BC51D8" w:rsidRDefault="00BD09A5" w:rsidP="00BD09A5">
            <w:pPr>
              <w:jc w:val="both"/>
            </w:pPr>
            <w:r>
              <w:t xml:space="preserve">a) </w:t>
            </w:r>
            <w:r w:rsidR="00BC51D8">
              <w:t>Pojedinačni odsjeci na nekom fakultetu nisu prihvatljivi partneri. Odjeli, ukoliko postoje na Sveučilištu jesu, ukoliko su upisani u  U</w:t>
            </w:r>
            <w:r w:rsidR="00BC51D8" w:rsidRPr="005622B4">
              <w:t>pisnik</w:t>
            </w:r>
            <w:r w:rsidR="00BC51D8">
              <w:t xml:space="preserve"> </w:t>
            </w:r>
            <w:r w:rsidR="00BC51D8" w:rsidRPr="005622B4">
              <w:t xml:space="preserve">znanstvenih organizacija </w:t>
            </w:r>
            <w:r w:rsidR="00BC51D8">
              <w:t xml:space="preserve"> Ministarstva znanosti i obrazovanja. </w:t>
            </w:r>
          </w:p>
          <w:p w:rsidR="00BC51D8" w:rsidRDefault="00BC51D8" w:rsidP="00F81F00"/>
          <w:p w:rsidR="00BC51D8" w:rsidRDefault="00BD09A5" w:rsidP="00BD09A5">
            <w:pPr>
              <w:jc w:val="both"/>
            </w:pPr>
            <w:r>
              <w:t>b)</w:t>
            </w:r>
            <w:r w:rsidR="001A4AB1">
              <w:t xml:space="preserve"> </w:t>
            </w:r>
            <w:r w:rsidR="00BC51D8" w:rsidRPr="00B154CC">
              <w:t>Svaka znanstven</w:t>
            </w:r>
            <w:r w:rsidR="00BC51D8">
              <w:t>a</w:t>
            </w:r>
            <w:r w:rsidR="00BC51D8" w:rsidRPr="00B154CC">
              <w:t xml:space="preserve"> organizacij</w:t>
            </w:r>
            <w:r w:rsidR="00BC51D8">
              <w:t xml:space="preserve">a </w:t>
            </w:r>
            <w:r w:rsidR="00BC51D8" w:rsidRPr="005622B4">
              <w:t>upisan</w:t>
            </w:r>
            <w:r w:rsidR="00BC51D8">
              <w:t>a</w:t>
            </w:r>
            <w:r w:rsidR="00BC51D8" w:rsidRPr="005622B4">
              <w:t xml:space="preserve"> u </w:t>
            </w:r>
            <w:r w:rsidR="00BC51D8">
              <w:t>U</w:t>
            </w:r>
            <w:r w:rsidR="00BC51D8" w:rsidRPr="005622B4">
              <w:t>pisnik</w:t>
            </w:r>
            <w:r w:rsidR="00BC51D8">
              <w:t xml:space="preserve"> </w:t>
            </w:r>
            <w:r w:rsidR="00BC51D8" w:rsidRPr="005622B4">
              <w:t xml:space="preserve">znanstvenih organizacija </w:t>
            </w:r>
            <w:r w:rsidR="00BC51D8">
              <w:t>Ministarstva znanosti i obrazovanja i u Sudski registar može biti partner u pet projektnih prijedloga. Isto je pojašnjeno/određeno izmjenama</w:t>
            </w:r>
            <w:r>
              <w:t xml:space="preserve"> natječajne dokumentacije, odnosno izmjenama Uputa za prijavitelje, </w:t>
            </w:r>
            <w:r w:rsidR="00BC51D8">
              <w:t>od 20. srpnja 2018. godine</w:t>
            </w:r>
            <w:r w:rsidR="001A4AB1">
              <w:t>,</w:t>
            </w:r>
            <w:r w:rsidR="00BC51D8">
              <w:t xml:space="preserve"> u točki 2.3 </w:t>
            </w:r>
            <w:r w:rsidR="00BC51D8" w:rsidRPr="00BD09A5">
              <w:t>Broj projektnih prijedloga po Prijavitelju</w:t>
            </w:r>
            <w:r>
              <w:t>.</w:t>
            </w:r>
          </w:p>
        </w:tc>
      </w:tr>
      <w:tr w:rsidR="00084D96" w:rsidTr="00084D96">
        <w:tc>
          <w:tcPr>
            <w:tcW w:w="534" w:type="dxa"/>
          </w:tcPr>
          <w:p w:rsidR="00BC51D8" w:rsidRDefault="00517483" w:rsidP="000C7C2C">
            <w:pPr>
              <w:jc w:val="center"/>
            </w:pPr>
            <w:r>
              <w:t>9</w:t>
            </w:r>
            <w:r w:rsidR="00BC51D8">
              <w:t>.</w:t>
            </w:r>
          </w:p>
        </w:tc>
        <w:tc>
          <w:tcPr>
            <w:tcW w:w="6945" w:type="dxa"/>
          </w:tcPr>
          <w:p w:rsidR="00BC51D8" w:rsidRPr="00473A51" w:rsidRDefault="00BC51D8" w:rsidP="00473A51">
            <w:pPr>
              <w:jc w:val="both"/>
            </w:pPr>
            <w:r w:rsidRPr="00473A51">
              <w:t xml:space="preserve">Kao organizacija registrirani smo već 10 godina, no nismo upisani u </w:t>
            </w:r>
            <w:r w:rsidR="00033FF0">
              <w:t>U</w:t>
            </w:r>
            <w:r w:rsidRPr="00473A51">
              <w:t>pisnik zna</w:t>
            </w:r>
            <w:r w:rsidR="00517483">
              <w:t xml:space="preserve">nstvenih organizacija najmanje </w:t>
            </w:r>
            <w:r w:rsidR="00033FF0">
              <w:t>1</w:t>
            </w:r>
            <w:r w:rsidRPr="00473A51">
              <w:t xml:space="preserve"> godinu od dana podnošenja projektnog p</w:t>
            </w:r>
            <w:r w:rsidR="00517483">
              <w:t>rijedloga. Sukladno Uputama za prijavitelje, točki 2.2.2</w:t>
            </w:r>
            <w:r w:rsidRPr="00473A51">
              <w:t xml:space="preserve"> Prihvatljivi partneri,  Komponenta 1, točka 1, molimo potvrdu da se registrac</w:t>
            </w:r>
            <w:r w:rsidR="00517483">
              <w:t xml:space="preserve">ija odnosi na upis u Sudski registar, a ne na upis u </w:t>
            </w:r>
            <w:r w:rsidR="00033FF0">
              <w:t>U</w:t>
            </w:r>
            <w:r w:rsidRPr="00473A51">
              <w:t>pisnik znanstvenih organizacija.  </w:t>
            </w:r>
          </w:p>
          <w:p w:rsidR="00BC51D8" w:rsidRDefault="00BC51D8" w:rsidP="007C2E12">
            <w:pPr>
              <w:jc w:val="both"/>
            </w:pPr>
          </w:p>
        </w:tc>
        <w:tc>
          <w:tcPr>
            <w:tcW w:w="6663" w:type="dxa"/>
          </w:tcPr>
          <w:p w:rsidR="00BC51D8" w:rsidRDefault="00033FF0" w:rsidP="00033FF0">
            <w:pPr>
              <w:jc w:val="both"/>
            </w:pPr>
            <w:r>
              <w:t xml:space="preserve">Prihvatljivi partneri su </w:t>
            </w:r>
            <w:r w:rsidR="00BC51D8">
              <w:t xml:space="preserve">isključivo znanstvene organizacije </w:t>
            </w:r>
            <w:r w:rsidR="00BC51D8" w:rsidRPr="005622B4">
              <w:t xml:space="preserve">upisane u </w:t>
            </w:r>
            <w:r w:rsidR="00BC51D8">
              <w:t>U</w:t>
            </w:r>
            <w:r w:rsidR="00BC51D8" w:rsidRPr="005622B4">
              <w:t>pisnik</w:t>
            </w:r>
            <w:r w:rsidR="00BC51D8">
              <w:t xml:space="preserve"> </w:t>
            </w:r>
            <w:r w:rsidR="00BC51D8" w:rsidRPr="005622B4">
              <w:t xml:space="preserve">znanstvenih organizacija </w:t>
            </w:r>
            <w:r w:rsidR="00BC51D8">
              <w:t>Ministarstva znanosti i ob</w:t>
            </w:r>
            <w:r>
              <w:t xml:space="preserve">razovanja i u Sudski registar, </w:t>
            </w:r>
            <w:r w:rsidR="00BC51D8">
              <w:t xml:space="preserve"> kako je izrijekom propisano u</w:t>
            </w:r>
            <w:r>
              <w:t xml:space="preserve"> Uputama za prijavitelje, u</w:t>
            </w:r>
            <w:r w:rsidR="00BC51D8">
              <w:t xml:space="preserve"> točki 2.2.2 </w:t>
            </w:r>
            <w:r w:rsidR="00BC51D8" w:rsidRPr="00033FF0">
              <w:t>Prihvatljivi partneri</w:t>
            </w:r>
            <w:r>
              <w:t>,</w:t>
            </w:r>
            <w:r w:rsidR="00BC51D8">
              <w:t xml:space="preserve"> </w:t>
            </w:r>
            <w:r>
              <w:t>a isto će se</w:t>
            </w:r>
            <w:r w:rsidR="00BC51D8">
              <w:t xml:space="preserve"> utvrđivati temeljem </w:t>
            </w:r>
            <w:r w:rsidR="00BC51D8" w:rsidRPr="00F20C55">
              <w:t xml:space="preserve">kopije </w:t>
            </w:r>
            <w:r w:rsidR="00BC51D8">
              <w:t>I</w:t>
            </w:r>
            <w:r w:rsidR="00BC51D8" w:rsidRPr="00F20C55">
              <w:t xml:space="preserve">zvatka iz </w:t>
            </w:r>
            <w:r w:rsidR="00BC51D8">
              <w:t>U</w:t>
            </w:r>
            <w:r w:rsidR="00BC51D8" w:rsidRPr="00F20C55">
              <w:t>pi</w:t>
            </w:r>
            <w:r w:rsidR="0054027E">
              <w:t xml:space="preserve">snika znanstvenih organizacija </w:t>
            </w:r>
            <w:r w:rsidR="00BC51D8">
              <w:t>koji je obvezni prilog projektnoj prijavi te</w:t>
            </w:r>
            <w:r w:rsidR="00BC51D8" w:rsidRPr="00F20C55">
              <w:t xml:space="preserve"> uvid</w:t>
            </w:r>
            <w:r w:rsidR="00BC51D8">
              <w:t>om</w:t>
            </w:r>
            <w:r w:rsidR="00BC51D8" w:rsidRPr="00F20C55">
              <w:t xml:space="preserve"> u Sudski registar</w:t>
            </w:r>
            <w:r>
              <w:t>.</w:t>
            </w:r>
          </w:p>
        </w:tc>
      </w:tr>
      <w:tr w:rsidR="00084D96" w:rsidTr="00084D96">
        <w:tc>
          <w:tcPr>
            <w:tcW w:w="534" w:type="dxa"/>
          </w:tcPr>
          <w:p w:rsidR="00BC51D8" w:rsidRDefault="0054027E" w:rsidP="000C7C2C">
            <w:pPr>
              <w:jc w:val="center"/>
            </w:pPr>
            <w:r>
              <w:t>10</w:t>
            </w:r>
            <w:r w:rsidR="00BC51D8">
              <w:t>.</w:t>
            </w:r>
          </w:p>
        </w:tc>
        <w:tc>
          <w:tcPr>
            <w:tcW w:w="6945" w:type="dxa"/>
          </w:tcPr>
          <w:p w:rsidR="00BC51D8" w:rsidRDefault="00055E70" w:rsidP="005B10FD">
            <w:pPr>
              <w:jc w:val="both"/>
            </w:pPr>
            <w:r>
              <w:t xml:space="preserve">a) </w:t>
            </w:r>
            <w:r w:rsidR="00BC51D8">
              <w:t>G</w:t>
            </w:r>
            <w:r w:rsidR="00BC51D8" w:rsidRPr="005B10FD">
              <w:t xml:space="preserve">dje </w:t>
            </w:r>
            <w:r w:rsidR="00BC51D8">
              <w:t xml:space="preserve">se </w:t>
            </w:r>
            <w:r w:rsidR="00BC51D8" w:rsidRPr="005B10FD">
              <w:t>točno u natje</w:t>
            </w:r>
            <w:r w:rsidR="00BC51D8">
              <w:t xml:space="preserve">čajnoj dokumentaciji </w:t>
            </w:r>
            <w:r w:rsidR="00E73E3D">
              <w:t>naznačuje</w:t>
            </w:r>
            <w:bookmarkStart w:id="0" w:name="_GoBack"/>
            <w:bookmarkEnd w:id="0"/>
            <w:r w:rsidR="00BC51D8" w:rsidRPr="005B10FD">
              <w:t xml:space="preserve"> za koju komponentu i za koje tematsko područje </w:t>
            </w:r>
            <w:r w:rsidR="00BC51D8">
              <w:t>se prijavljuje</w:t>
            </w:r>
            <w:r w:rsidR="00BC51D8" w:rsidRPr="005B10FD">
              <w:t xml:space="preserve"> projekt?</w:t>
            </w:r>
          </w:p>
          <w:p w:rsidR="00BC51D8" w:rsidRPr="005B10FD" w:rsidRDefault="00BC51D8" w:rsidP="005B10FD">
            <w:pPr>
              <w:jc w:val="both"/>
            </w:pPr>
          </w:p>
          <w:p w:rsidR="00BC51D8" w:rsidRDefault="00055E70" w:rsidP="005B10FD">
            <w:pPr>
              <w:jc w:val="both"/>
            </w:pPr>
            <w:r>
              <w:t>b) Prema Kriterijima odabira za Komponentu 1,</w:t>
            </w:r>
            <w:r w:rsidR="00BC51D8" w:rsidRPr="005B10FD">
              <w:t xml:space="preserve"> pod </w:t>
            </w:r>
            <w:r w:rsidR="00BC51D8">
              <w:t xml:space="preserve">red. br. </w:t>
            </w:r>
            <w:r w:rsidR="00BC51D8" w:rsidRPr="005B10FD">
              <w:t>7 evaluira</w:t>
            </w:r>
            <w:r>
              <w:t xml:space="preserve"> se</w:t>
            </w:r>
            <w:r w:rsidR="00BC51D8" w:rsidRPr="005B10FD">
              <w:t xml:space="preserve"> uključenost volontera u pro</w:t>
            </w:r>
            <w:r>
              <w:t>vedbu projektnih aktivnosti</w:t>
            </w:r>
            <w:r w:rsidR="00BC51D8" w:rsidRPr="005B10FD">
              <w:t>, međutim volonteri nisu cilj</w:t>
            </w:r>
            <w:r w:rsidR="00BC51D8">
              <w:t>a</w:t>
            </w:r>
            <w:r w:rsidR="00BC51D8" w:rsidRPr="005B10FD">
              <w:t xml:space="preserve">na skupina niti su igdje uopće spomenuti u </w:t>
            </w:r>
            <w:r>
              <w:t>Pozivu</w:t>
            </w:r>
            <w:r w:rsidR="00BC51D8" w:rsidRPr="005B10FD">
              <w:t xml:space="preserve"> (osim u tematskom području 22). Zašto se onda boduje uključenost volontera i u kojem dijelu prijavnog obrasca bismo trebali opisati ulogu volontera (budući da pod stavkom Elementi projekta i proračun zapravo nigdje ne navodimo zasebno volontere, već samo zbirno ostale prihvatljive troškove)?</w:t>
            </w:r>
          </w:p>
          <w:p w:rsidR="00BC51D8" w:rsidRDefault="00BC51D8" w:rsidP="005B10FD">
            <w:pPr>
              <w:jc w:val="both"/>
            </w:pPr>
          </w:p>
          <w:p w:rsidR="00BC51D8" w:rsidRDefault="00055E70" w:rsidP="005B10FD">
            <w:pPr>
              <w:jc w:val="both"/>
            </w:pPr>
            <w:r>
              <w:t xml:space="preserve">c) </w:t>
            </w:r>
            <w:r w:rsidR="00BC51D8">
              <w:t>U U</w:t>
            </w:r>
            <w:r w:rsidR="00BC51D8" w:rsidRPr="005B10FD">
              <w:t>putama</w:t>
            </w:r>
            <w:r w:rsidR="00BC51D8">
              <w:t xml:space="preserve"> za prijavitelje</w:t>
            </w:r>
            <w:r w:rsidR="00BC51D8" w:rsidRPr="005B10FD">
              <w:t xml:space="preserve"> je navedeno da</w:t>
            </w:r>
            <w:r w:rsidR="00BC51D8">
              <w:t xml:space="preserve"> je prijavi potrebno priložiti „</w:t>
            </w:r>
            <w:r w:rsidR="00BC51D8" w:rsidRPr="005B10FD">
              <w:t xml:space="preserve">kopiju izvatka iz upisnika znanstvenih organizacija Agencije </w:t>
            </w:r>
            <w:r w:rsidR="00BC51D8">
              <w:t>za znanost i visoko obrazovanje“</w:t>
            </w:r>
            <w:r w:rsidR="00BC51D8" w:rsidRPr="005B10FD">
              <w:t>. Možete li pojasniti o kakvom je to upisniku riječ, jer Upisnik z</w:t>
            </w:r>
            <w:r>
              <w:t>nanstvenih organizacija vodi Ministarstvo znanosti i obrazovanja</w:t>
            </w:r>
            <w:r w:rsidR="00BC51D8" w:rsidRPr="005B10FD">
              <w:t>. Također, na prijašnjim natječajima je ob</w:t>
            </w:r>
            <w:r w:rsidR="00BC51D8">
              <w:t>i</w:t>
            </w:r>
            <w:r>
              <w:t>čno Posredničko tijelo razine 2</w:t>
            </w:r>
            <w:r w:rsidR="00BC51D8">
              <w:t xml:space="preserve"> vrši</w:t>
            </w:r>
            <w:r>
              <w:t>l</w:t>
            </w:r>
            <w:r w:rsidR="00BC51D8">
              <w:t>o uvid u elektroničk</w:t>
            </w:r>
            <w:r w:rsidR="00BC51D8" w:rsidRPr="005B10FD">
              <w:t>u bazu podataka kako za udruge, tako i za znanstveno-istraživačke organizacije, kako bi se smanjila dokumentacija potrebna za natječaj</w:t>
            </w:r>
            <w:r w:rsidR="00BC51D8">
              <w:t>,</w:t>
            </w:r>
            <w:r w:rsidR="00BC51D8" w:rsidRPr="005B10FD">
              <w:t xml:space="preserve"> pa predlažem</w:t>
            </w:r>
            <w:r w:rsidR="00BC51D8">
              <w:t>o</w:t>
            </w:r>
            <w:r w:rsidR="00BC51D8" w:rsidRPr="005B10FD">
              <w:t xml:space="preserve"> da se tako napravi i u ovom natječaju.</w:t>
            </w:r>
          </w:p>
          <w:p w:rsidR="00BC51D8" w:rsidRPr="00473A51" w:rsidRDefault="00BC51D8" w:rsidP="00EE6560">
            <w:pPr>
              <w:jc w:val="both"/>
            </w:pPr>
          </w:p>
        </w:tc>
        <w:tc>
          <w:tcPr>
            <w:tcW w:w="6663" w:type="dxa"/>
          </w:tcPr>
          <w:p w:rsidR="00BC51D8" w:rsidRDefault="00055E70" w:rsidP="00055E70">
            <w:pPr>
              <w:jc w:val="both"/>
            </w:pPr>
            <w:r>
              <w:lastRenderedPageBreak/>
              <w:t xml:space="preserve">a) </w:t>
            </w:r>
            <w:r w:rsidR="00BC51D8">
              <w:t xml:space="preserve">Prijavu na određenu komponentu i određeno tematsko područje možete naznačiti na koverti u kojoj dostavljate projektni prijedlog, kao i </w:t>
            </w:r>
            <w:r w:rsidR="00BC51D8">
              <w:lastRenderedPageBreak/>
              <w:t>u Obrascu 2.</w:t>
            </w:r>
          </w:p>
          <w:p w:rsidR="00BC51D8" w:rsidRDefault="00BC51D8" w:rsidP="00C548A9"/>
          <w:p w:rsidR="00BC51D8" w:rsidRDefault="00055E70" w:rsidP="00055E70">
            <w:pPr>
              <w:jc w:val="both"/>
            </w:pPr>
            <w:r>
              <w:t>b)</w:t>
            </w:r>
            <w:r w:rsidR="00BC51D8">
              <w:t xml:space="preserve"> Uključenost volontera u projekt i opis njihove uloge u provođenju projekta možete naznačiti u Obrascu A.</w:t>
            </w:r>
          </w:p>
          <w:p w:rsidR="00BC51D8" w:rsidRDefault="00BC51D8" w:rsidP="00C548A9"/>
          <w:p w:rsidR="00BC51D8" w:rsidRPr="005622B4" w:rsidRDefault="00055E70" w:rsidP="00055E70">
            <w:pPr>
              <w:jc w:val="both"/>
            </w:pPr>
            <w:r>
              <w:t>c) U natječajnoj je dokumentaciji, odnosno u Uputama za prijavitelje, omaškom</w:t>
            </w:r>
            <w:r w:rsidR="00BC51D8">
              <w:t xml:space="preserve"> umjesto U</w:t>
            </w:r>
            <w:r w:rsidR="00BC51D8" w:rsidRPr="005622B4">
              <w:t>pisnik</w:t>
            </w:r>
            <w:r w:rsidR="00BC51D8">
              <w:t xml:space="preserve">a </w:t>
            </w:r>
            <w:r w:rsidR="00BC51D8" w:rsidRPr="005622B4">
              <w:t xml:space="preserve">znanstvenih organizacija </w:t>
            </w:r>
            <w:r w:rsidR="00BC51D8">
              <w:t xml:space="preserve">Ministarstva znanosti i obrazovanja naveden Upisnik </w:t>
            </w:r>
            <w:r w:rsidR="00BC51D8" w:rsidRPr="008F3108">
              <w:t>Agencije za znanost i vi</w:t>
            </w:r>
            <w:r w:rsidR="00BC51D8">
              <w:t>s</w:t>
            </w:r>
            <w:r w:rsidR="00BC51D8" w:rsidRPr="008F3108">
              <w:t>oko obraz</w:t>
            </w:r>
            <w:r w:rsidR="00BC51D8">
              <w:t>ovanje. Prihvatljivost partnera koji su znanstvene organizacije će se utvrđivati temeljem preslike</w:t>
            </w:r>
            <w:r w:rsidR="00BC51D8" w:rsidRPr="00F20C55">
              <w:t xml:space="preserve"> </w:t>
            </w:r>
            <w:r w:rsidR="00BC51D8">
              <w:t>I</w:t>
            </w:r>
            <w:r w:rsidR="00BC51D8" w:rsidRPr="00F20C55">
              <w:t xml:space="preserve">zvatka iz </w:t>
            </w:r>
            <w:r w:rsidR="00BC51D8">
              <w:t>U</w:t>
            </w:r>
            <w:r w:rsidR="00BC51D8" w:rsidRPr="00F20C55">
              <w:t>pi</w:t>
            </w:r>
            <w:r>
              <w:t xml:space="preserve">snika znanstvenih organizacija </w:t>
            </w:r>
            <w:r w:rsidR="00BC51D8">
              <w:t>Ministarstva znanosti i obrazovanja koji je obvezni prilog projektnoj prijavi te</w:t>
            </w:r>
            <w:r w:rsidR="00BC51D8" w:rsidRPr="00F20C55">
              <w:t xml:space="preserve"> uvid</w:t>
            </w:r>
            <w:r w:rsidR="00BC51D8">
              <w:t>om</w:t>
            </w:r>
            <w:r w:rsidR="00BC51D8" w:rsidRPr="00F20C55">
              <w:t xml:space="preserve"> u Sudski registar</w:t>
            </w:r>
            <w:r w:rsidR="00BC51D8">
              <w:t>.</w:t>
            </w:r>
          </w:p>
          <w:p w:rsidR="00BC51D8" w:rsidRDefault="00BC51D8" w:rsidP="00C548A9"/>
        </w:tc>
      </w:tr>
    </w:tbl>
    <w:p w:rsidR="00926FD5" w:rsidRDefault="00926FD5"/>
    <w:sectPr w:rsidR="00926FD5" w:rsidSect="00C21685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051" w:rsidRDefault="00BB2051" w:rsidP="00B22D62">
      <w:pPr>
        <w:spacing w:after="0" w:line="240" w:lineRule="auto"/>
      </w:pPr>
      <w:r>
        <w:separator/>
      </w:r>
    </w:p>
  </w:endnote>
  <w:endnote w:type="continuationSeparator" w:id="0">
    <w:p w:rsidR="00BB2051" w:rsidRDefault="00BB2051" w:rsidP="00B2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678748"/>
      <w:docPartObj>
        <w:docPartGallery w:val="Page Numbers (Bottom of Page)"/>
        <w:docPartUnique/>
      </w:docPartObj>
    </w:sdtPr>
    <w:sdtEndPr/>
    <w:sdtContent>
      <w:p w:rsidR="00B22D62" w:rsidRDefault="00B22D6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E3D">
          <w:rPr>
            <w:noProof/>
          </w:rPr>
          <w:t>5</w:t>
        </w:r>
        <w:r>
          <w:fldChar w:fldCharType="end"/>
        </w:r>
      </w:p>
    </w:sdtContent>
  </w:sdt>
  <w:p w:rsidR="00B22D62" w:rsidRDefault="00B22D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051" w:rsidRDefault="00BB2051" w:rsidP="00B22D62">
      <w:pPr>
        <w:spacing w:after="0" w:line="240" w:lineRule="auto"/>
      </w:pPr>
      <w:r>
        <w:separator/>
      </w:r>
    </w:p>
  </w:footnote>
  <w:footnote w:type="continuationSeparator" w:id="0">
    <w:p w:rsidR="00BB2051" w:rsidRDefault="00BB2051" w:rsidP="00B22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299"/>
    <w:multiLevelType w:val="hybridMultilevel"/>
    <w:tmpl w:val="0456BBF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5589"/>
    <w:multiLevelType w:val="hybridMultilevel"/>
    <w:tmpl w:val="766EE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F42C8"/>
    <w:multiLevelType w:val="hybridMultilevel"/>
    <w:tmpl w:val="3156F8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5386F"/>
    <w:multiLevelType w:val="multilevel"/>
    <w:tmpl w:val="843A3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5F69FE"/>
    <w:multiLevelType w:val="hybridMultilevel"/>
    <w:tmpl w:val="0F720F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85"/>
    <w:rsid w:val="000203FE"/>
    <w:rsid w:val="000205FE"/>
    <w:rsid w:val="00027429"/>
    <w:rsid w:val="00033FF0"/>
    <w:rsid w:val="000506AC"/>
    <w:rsid w:val="00055E70"/>
    <w:rsid w:val="0008147B"/>
    <w:rsid w:val="00084D96"/>
    <w:rsid w:val="00093E69"/>
    <w:rsid w:val="000C474C"/>
    <w:rsid w:val="000C7617"/>
    <w:rsid w:val="000C7C2C"/>
    <w:rsid w:val="000D010B"/>
    <w:rsid w:val="000D1DFC"/>
    <w:rsid w:val="000E5EF3"/>
    <w:rsid w:val="000F087D"/>
    <w:rsid w:val="00104CA5"/>
    <w:rsid w:val="00120CD0"/>
    <w:rsid w:val="00147D14"/>
    <w:rsid w:val="001520EC"/>
    <w:rsid w:val="001720F2"/>
    <w:rsid w:val="00185159"/>
    <w:rsid w:val="001865D6"/>
    <w:rsid w:val="00196F8C"/>
    <w:rsid w:val="001A4AB1"/>
    <w:rsid w:val="001D62A2"/>
    <w:rsid w:val="001F33A9"/>
    <w:rsid w:val="002338AE"/>
    <w:rsid w:val="0023531A"/>
    <w:rsid w:val="002864E7"/>
    <w:rsid w:val="00292CE8"/>
    <w:rsid w:val="002B38F2"/>
    <w:rsid w:val="002B7A93"/>
    <w:rsid w:val="002C3E66"/>
    <w:rsid w:val="002D001A"/>
    <w:rsid w:val="002E4325"/>
    <w:rsid w:val="002E4B6B"/>
    <w:rsid w:val="003455F8"/>
    <w:rsid w:val="003660D2"/>
    <w:rsid w:val="003A4BE8"/>
    <w:rsid w:val="003B033B"/>
    <w:rsid w:val="003C605D"/>
    <w:rsid w:val="003D5395"/>
    <w:rsid w:val="003E2B23"/>
    <w:rsid w:val="003F4A6A"/>
    <w:rsid w:val="00415256"/>
    <w:rsid w:val="004268F2"/>
    <w:rsid w:val="00452E96"/>
    <w:rsid w:val="004631D6"/>
    <w:rsid w:val="004647EB"/>
    <w:rsid w:val="00470A7C"/>
    <w:rsid w:val="00473A51"/>
    <w:rsid w:val="004807C0"/>
    <w:rsid w:val="00481917"/>
    <w:rsid w:val="004C718F"/>
    <w:rsid w:val="004E39E3"/>
    <w:rsid w:val="004E55D8"/>
    <w:rsid w:val="004F395F"/>
    <w:rsid w:val="004F3CDC"/>
    <w:rsid w:val="004F4678"/>
    <w:rsid w:val="00503B63"/>
    <w:rsid w:val="00517483"/>
    <w:rsid w:val="00535696"/>
    <w:rsid w:val="0054027E"/>
    <w:rsid w:val="00560A06"/>
    <w:rsid w:val="005622B4"/>
    <w:rsid w:val="005A26AD"/>
    <w:rsid w:val="005A6640"/>
    <w:rsid w:val="005B10FD"/>
    <w:rsid w:val="005B4D71"/>
    <w:rsid w:val="005E1E6D"/>
    <w:rsid w:val="005E72AF"/>
    <w:rsid w:val="0060067C"/>
    <w:rsid w:val="00651D57"/>
    <w:rsid w:val="0066151C"/>
    <w:rsid w:val="00664AB1"/>
    <w:rsid w:val="00676A1B"/>
    <w:rsid w:val="006C5733"/>
    <w:rsid w:val="006E70DB"/>
    <w:rsid w:val="00702FC0"/>
    <w:rsid w:val="00712AF9"/>
    <w:rsid w:val="007168E1"/>
    <w:rsid w:val="00723742"/>
    <w:rsid w:val="007443D1"/>
    <w:rsid w:val="00744E75"/>
    <w:rsid w:val="00781B21"/>
    <w:rsid w:val="00797506"/>
    <w:rsid w:val="007C1B58"/>
    <w:rsid w:val="007C2E12"/>
    <w:rsid w:val="007C77EE"/>
    <w:rsid w:val="007E2853"/>
    <w:rsid w:val="007E3EB5"/>
    <w:rsid w:val="007F5EEB"/>
    <w:rsid w:val="0080127C"/>
    <w:rsid w:val="00863F8A"/>
    <w:rsid w:val="0088294F"/>
    <w:rsid w:val="008C7257"/>
    <w:rsid w:val="008F3108"/>
    <w:rsid w:val="008F6755"/>
    <w:rsid w:val="00916DC2"/>
    <w:rsid w:val="00926FD5"/>
    <w:rsid w:val="00943F68"/>
    <w:rsid w:val="009467E5"/>
    <w:rsid w:val="00992A78"/>
    <w:rsid w:val="009965B6"/>
    <w:rsid w:val="00997AFB"/>
    <w:rsid w:val="009A7923"/>
    <w:rsid w:val="009D7E94"/>
    <w:rsid w:val="009E17DA"/>
    <w:rsid w:val="00A02BB6"/>
    <w:rsid w:val="00A04D54"/>
    <w:rsid w:val="00A06340"/>
    <w:rsid w:val="00A12D5C"/>
    <w:rsid w:val="00A47AE0"/>
    <w:rsid w:val="00A523C6"/>
    <w:rsid w:val="00A53B9D"/>
    <w:rsid w:val="00A700ED"/>
    <w:rsid w:val="00A75804"/>
    <w:rsid w:val="00AC1077"/>
    <w:rsid w:val="00AC76FB"/>
    <w:rsid w:val="00AF1F5D"/>
    <w:rsid w:val="00B10B17"/>
    <w:rsid w:val="00B154CC"/>
    <w:rsid w:val="00B22D62"/>
    <w:rsid w:val="00B36407"/>
    <w:rsid w:val="00B509BD"/>
    <w:rsid w:val="00B5603E"/>
    <w:rsid w:val="00B56065"/>
    <w:rsid w:val="00B96245"/>
    <w:rsid w:val="00B96AC3"/>
    <w:rsid w:val="00BA710C"/>
    <w:rsid w:val="00BB2051"/>
    <w:rsid w:val="00BB2E9E"/>
    <w:rsid w:val="00BC51D8"/>
    <w:rsid w:val="00BC680F"/>
    <w:rsid w:val="00BD09A5"/>
    <w:rsid w:val="00BE23E7"/>
    <w:rsid w:val="00C17FDB"/>
    <w:rsid w:val="00C21685"/>
    <w:rsid w:val="00C30850"/>
    <w:rsid w:val="00C37A51"/>
    <w:rsid w:val="00C5221B"/>
    <w:rsid w:val="00C548A9"/>
    <w:rsid w:val="00C62C24"/>
    <w:rsid w:val="00C631F4"/>
    <w:rsid w:val="00C83D30"/>
    <w:rsid w:val="00C93F28"/>
    <w:rsid w:val="00C95A11"/>
    <w:rsid w:val="00CA6749"/>
    <w:rsid w:val="00CE7EE6"/>
    <w:rsid w:val="00CF7FB0"/>
    <w:rsid w:val="00D013D3"/>
    <w:rsid w:val="00D60763"/>
    <w:rsid w:val="00D74CFE"/>
    <w:rsid w:val="00D8485D"/>
    <w:rsid w:val="00D849C7"/>
    <w:rsid w:val="00D92D3C"/>
    <w:rsid w:val="00D9406B"/>
    <w:rsid w:val="00DA6C39"/>
    <w:rsid w:val="00DD18F8"/>
    <w:rsid w:val="00DF416A"/>
    <w:rsid w:val="00E03726"/>
    <w:rsid w:val="00E16D7F"/>
    <w:rsid w:val="00E53A27"/>
    <w:rsid w:val="00E635A1"/>
    <w:rsid w:val="00E647A7"/>
    <w:rsid w:val="00E73E3D"/>
    <w:rsid w:val="00E86762"/>
    <w:rsid w:val="00E92E99"/>
    <w:rsid w:val="00EC0127"/>
    <w:rsid w:val="00EE521C"/>
    <w:rsid w:val="00EE6560"/>
    <w:rsid w:val="00EF5B32"/>
    <w:rsid w:val="00F06C75"/>
    <w:rsid w:val="00F14DA8"/>
    <w:rsid w:val="00F20C55"/>
    <w:rsid w:val="00F67FF4"/>
    <w:rsid w:val="00F81F00"/>
    <w:rsid w:val="00FB7A59"/>
    <w:rsid w:val="00FC165E"/>
    <w:rsid w:val="00FC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75804"/>
    <w:rPr>
      <w:color w:val="0000FF" w:themeColor="hyperlink"/>
      <w:u w:val="single"/>
    </w:rPr>
  </w:style>
  <w:style w:type="paragraph" w:styleId="Odlomakpopisa">
    <w:name w:val="List Paragraph"/>
    <w:aliases w:val="REPORT Bullet"/>
    <w:basedOn w:val="Normal"/>
    <w:link w:val="OdlomakpopisaChar"/>
    <w:qFormat/>
    <w:rsid w:val="00E037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2D62"/>
  </w:style>
  <w:style w:type="paragraph" w:styleId="Podnoje">
    <w:name w:val="footer"/>
    <w:basedOn w:val="Normal"/>
    <w:link w:val="Podno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2D62"/>
  </w:style>
  <w:style w:type="character" w:styleId="Referencakomentara">
    <w:name w:val="annotation reference"/>
    <w:basedOn w:val="Zadanifontodlomka"/>
    <w:uiPriority w:val="99"/>
    <w:semiHidden/>
    <w:unhideWhenUsed/>
    <w:rsid w:val="00E647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7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7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7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7A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F31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REPORT Bullet Char"/>
    <w:link w:val="Odlomakpopisa"/>
    <w:locked/>
    <w:rsid w:val="000F087D"/>
  </w:style>
  <w:style w:type="paragraph" w:customStyle="1" w:styleId="ESFBodysivo">
    <w:name w:val="ESF Body_sivo"/>
    <w:link w:val="ESFBodysivoChar"/>
    <w:qFormat/>
    <w:rsid w:val="00F20C5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Zadanifontodlomka"/>
    <w:link w:val="ESFBodysivo"/>
    <w:rsid w:val="00F20C55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Bez">
    <w:name w:val="Bez"/>
    <w:rsid w:val="00B15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75804"/>
    <w:rPr>
      <w:color w:val="0000FF" w:themeColor="hyperlink"/>
      <w:u w:val="single"/>
    </w:rPr>
  </w:style>
  <w:style w:type="paragraph" w:styleId="Odlomakpopisa">
    <w:name w:val="List Paragraph"/>
    <w:aliases w:val="REPORT Bullet"/>
    <w:basedOn w:val="Normal"/>
    <w:link w:val="OdlomakpopisaChar"/>
    <w:qFormat/>
    <w:rsid w:val="00E0372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2D62"/>
  </w:style>
  <w:style w:type="paragraph" w:styleId="Podnoje">
    <w:name w:val="footer"/>
    <w:basedOn w:val="Normal"/>
    <w:link w:val="PodnojeChar"/>
    <w:uiPriority w:val="99"/>
    <w:unhideWhenUsed/>
    <w:rsid w:val="00B22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2D62"/>
  </w:style>
  <w:style w:type="character" w:styleId="Referencakomentara">
    <w:name w:val="annotation reference"/>
    <w:basedOn w:val="Zadanifontodlomka"/>
    <w:uiPriority w:val="99"/>
    <w:semiHidden/>
    <w:unhideWhenUsed/>
    <w:rsid w:val="00E647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647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647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647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647A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7A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8F310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REPORT Bullet Char"/>
    <w:link w:val="Odlomakpopisa"/>
    <w:locked/>
    <w:rsid w:val="000F087D"/>
  </w:style>
  <w:style w:type="paragraph" w:customStyle="1" w:styleId="ESFBodysivo">
    <w:name w:val="ESF Body_sivo"/>
    <w:link w:val="ESFBodysivoChar"/>
    <w:qFormat/>
    <w:rsid w:val="00F20C55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Zadanifontodlomka"/>
    <w:link w:val="ESFBodysivo"/>
    <w:rsid w:val="00F20C55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Bez">
    <w:name w:val="Bez"/>
    <w:rsid w:val="00B1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irdsectorimpact.e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5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44</cp:revision>
  <dcterms:created xsi:type="dcterms:W3CDTF">2018-09-25T12:52:00Z</dcterms:created>
  <dcterms:modified xsi:type="dcterms:W3CDTF">2018-09-26T10:58:00Z</dcterms:modified>
</cp:coreProperties>
</file>