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pPr w:leftFromText="180" w:rightFromText="180" w:vertAnchor="text" w:horzAnchor="margin" w:tblpY="-4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7371"/>
      </w:tblGrid>
      <w:tr w:rsidR="002C6D3D" w:rsidRPr="002C6D3D" w14:paraId="4382C090" w14:textId="77777777" w:rsidTr="003F711B">
        <w:trPr>
          <w:trHeight w:val="557"/>
        </w:trPr>
        <w:tc>
          <w:tcPr>
            <w:tcW w:w="5637" w:type="dxa"/>
          </w:tcPr>
          <w:p w14:paraId="666FD76D" w14:textId="77777777" w:rsidR="002C6D3D" w:rsidRPr="002C6D3D" w:rsidRDefault="002C6D3D" w:rsidP="002C6D3D">
            <w:pPr>
              <w:autoSpaceDE w:val="0"/>
              <w:autoSpaceDN w:val="0"/>
              <w:adjustRightInd w:val="0"/>
              <w:rPr>
                <w:rFonts w:ascii="Calibri" w:eastAsia="Calibri" w:hAnsi="Calibri" w:cs="Times New Roman"/>
                <w:color w:val="000000"/>
                <w:sz w:val="20"/>
                <w:szCs w:val="20"/>
                <w:lang w:val="hr-HR"/>
              </w:rPr>
            </w:pPr>
            <w:r w:rsidRPr="002C6D3D">
              <w:rPr>
                <w:rFonts w:ascii="Calibri" w:eastAsia="Calibri" w:hAnsi="Calibri" w:cs="Times New Roman"/>
                <w:color w:val="000000"/>
                <w:sz w:val="20"/>
                <w:szCs w:val="20"/>
                <w:lang w:val="hr-HR"/>
              </w:rPr>
              <w:t>Ministarstvo rada i mirovinskoga sustava</w:t>
            </w:r>
          </w:p>
          <w:p w14:paraId="6BA867CE" w14:textId="37643B1D" w:rsidR="002C6D3D" w:rsidRPr="002C6D3D" w:rsidRDefault="002C6D3D" w:rsidP="00B9365C">
            <w:pPr>
              <w:autoSpaceDE w:val="0"/>
              <w:autoSpaceDN w:val="0"/>
              <w:adjustRightInd w:val="0"/>
              <w:rPr>
                <w:rFonts w:ascii="Calibri" w:eastAsia="Calibri" w:hAnsi="Calibri" w:cs="Times New Roman"/>
                <w:color w:val="000000"/>
                <w:sz w:val="20"/>
                <w:szCs w:val="20"/>
                <w:lang w:val="hr-HR"/>
              </w:rPr>
            </w:pPr>
            <w:r w:rsidRPr="002C6D3D">
              <w:rPr>
                <w:rFonts w:ascii="Calibri" w:eastAsia="Calibri" w:hAnsi="Calibri" w:cs="Times New Roman"/>
                <w:color w:val="000000"/>
                <w:sz w:val="20"/>
                <w:szCs w:val="20"/>
                <w:lang w:val="hr-HR"/>
              </w:rPr>
              <w:t>Uprava za upravljanje operativnim programima Europske unije</w:t>
            </w:r>
            <w:r w:rsidRPr="002C6D3D">
              <w:rPr>
                <w:rFonts w:ascii="Calibri" w:eastAsia="Calibri" w:hAnsi="Calibri" w:cs="Times New Roman"/>
                <w:color w:val="000000"/>
                <w:sz w:val="20"/>
                <w:szCs w:val="20"/>
                <w:lang w:val="hr-HR"/>
              </w:rPr>
              <w:br/>
            </w:r>
            <w:r w:rsidR="00B9365C">
              <w:rPr>
                <w:rFonts w:ascii="Calibri" w:eastAsia="Calibri" w:hAnsi="Calibri" w:cs="Times New Roman"/>
                <w:color w:val="000000"/>
                <w:sz w:val="20"/>
                <w:szCs w:val="20"/>
                <w:lang w:val="hr-HR"/>
              </w:rPr>
              <w:t xml:space="preserve">Sektor za pripremu i provedbu projekata Operativnog programa Učinkoviti ljudski potencijali 2014. – 2020. </w:t>
            </w:r>
            <w:r w:rsidRPr="002C6D3D">
              <w:rPr>
                <w:rFonts w:ascii="Calibri" w:eastAsia="Calibri" w:hAnsi="Calibri" w:cs="Times New Roman"/>
                <w:color w:val="000000"/>
                <w:sz w:val="20"/>
                <w:szCs w:val="20"/>
                <w:lang w:val="hr-HR"/>
              </w:rPr>
              <w:tab/>
            </w:r>
          </w:p>
        </w:tc>
        <w:tc>
          <w:tcPr>
            <w:tcW w:w="7371" w:type="dxa"/>
          </w:tcPr>
          <w:p w14:paraId="36A349AA" w14:textId="795F2BDE" w:rsidR="00BE69E9" w:rsidRDefault="005F51AE" w:rsidP="005F51AE">
            <w:pPr>
              <w:autoSpaceDE w:val="0"/>
              <w:autoSpaceDN w:val="0"/>
              <w:adjustRightInd w:val="0"/>
              <w:rPr>
                <w:rFonts w:ascii="Calibri" w:eastAsia="Calibri" w:hAnsi="Calibri" w:cs="Times New Roman"/>
                <w:color w:val="000000"/>
                <w:sz w:val="20"/>
                <w:szCs w:val="20"/>
                <w:lang w:val="hr-HR"/>
              </w:rPr>
            </w:pPr>
            <w:r>
              <w:rPr>
                <w:rFonts w:ascii="Calibri" w:eastAsia="Calibri" w:hAnsi="Calibri" w:cs="Times New Roman"/>
                <w:color w:val="000000"/>
                <w:sz w:val="20"/>
                <w:szCs w:val="20"/>
                <w:lang w:val="hr-HR"/>
              </w:rPr>
              <w:t xml:space="preserve">         </w:t>
            </w:r>
            <w:r w:rsidR="003F711B">
              <w:rPr>
                <w:rFonts w:ascii="Calibri" w:eastAsia="Calibri" w:hAnsi="Calibri" w:cs="Times New Roman"/>
                <w:color w:val="000000"/>
                <w:sz w:val="20"/>
                <w:szCs w:val="20"/>
                <w:lang w:val="hr-HR"/>
              </w:rPr>
              <w:t xml:space="preserve">                                  Otvoreni privremeni </w:t>
            </w:r>
            <w:r w:rsidR="002C6D3D" w:rsidRPr="002C6D3D">
              <w:rPr>
                <w:rFonts w:ascii="Calibri" w:eastAsia="Calibri" w:hAnsi="Calibri" w:cs="Times New Roman"/>
                <w:color w:val="000000"/>
                <w:sz w:val="20"/>
                <w:szCs w:val="20"/>
                <w:lang w:val="hr-HR"/>
              </w:rPr>
              <w:t>Poziv na dostavu projektnih prijedloga</w:t>
            </w:r>
          </w:p>
          <w:p w14:paraId="052A508D" w14:textId="3EACD89A" w:rsidR="003F711B" w:rsidRDefault="003F711B" w:rsidP="003F711B">
            <w:pPr>
              <w:autoSpaceDE w:val="0"/>
              <w:autoSpaceDN w:val="0"/>
              <w:adjustRightInd w:val="0"/>
              <w:rPr>
                <w:rFonts w:ascii="Calibri" w:eastAsia="Calibri" w:hAnsi="Calibri" w:cs="Times New Roman"/>
                <w:color w:val="000000"/>
                <w:sz w:val="20"/>
                <w:szCs w:val="20"/>
                <w:lang w:val="hr-HR"/>
              </w:rPr>
            </w:pPr>
            <w:r>
              <w:rPr>
                <w:rFonts w:ascii="Calibri" w:eastAsia="Calibri" w:hAnsi="Calibri" w:cs="Times New Roman"/>
                <w:color w:val="000000"/>
                <w:sz w:val="20"/>
                <w:szCs w:val="20"/>
                <w:lang w:val="hr-HR"/>
              </w:rPr>
              <w:t xml:space="preserve">                                           </w:t>
            </w:r>
            <w:r w:rsidR="004B6F0A">
              <w:rPr>
                <w:rFonts w:ascii="Calibri" w:eastAsia="Calibri" w:hAnsi="Calibri" w:cs="Times New Roman"/>
                <w:color w:val="000000"/>
                <w:sz w:val="20"/>
                <w:szCs w:val="20"/>
                <w:lang w:val="hr-HR"/>
              </w:rPr>
              <w:t>„Tematske mreže za društveno-ekonomski razvoj</w:t>
            </w:r>
            <w:r>
              <w:rPr>
                <w:rFonts w:ascii="Calibri" w:eastAsia="Calibri" w:hAnsi="Calibri" w:cs="Times New Roman"/>
                <w:color w:val="000000"/>
                <w:sz w:val="20"/>
                <w:szCs w:val="20"/>
                <w:lang w:val="hr-HR"/>
              </w:rPr>
              <w:t xml:space="preserve"> te promicanje </w:t>
            </w:r>
          </w:p>
          <w:p w14:paraId="73FAED0C" w14:textId="43323D1C" w:rsidR="005F51AE" w:rsidRDefault="003F711B" w:rsidP="003F711B">
            <w:pPr>
              <w:autoSpaceDE w:val="0"/>
              <w:autoSpaceDN w:val="0"/>
              <w:adjustRightInd w:val="0"/>
              <w:rPr>
                <w:rFonts w:ascii="Calibri" w:eastAsia="Calibri" w:hAnsi="Calibri" w:cs="Times New Roman"/>
                <w:color w:val="000000"/>
                <w:sz w:val="20"/>
                <w:szCs w:val="20"/>
                <w:lang w:val="hr-HR"/>
              </w:rPr>
            </w:pPr>
            <w:r>
              <w:rPr>
                <w:rFonts w:ascii="Calibri" w:eastAsia="Calibri" w:hAnsi="Calibri" w:cs="Times New Roman"/>
                <w:color w:val="000000"/>
                <w:sz w:val="20"/>
                <w:szCs w:val="20"/>
                <w:lang w:val="hr-HR"/>
              </w:rPr>
              <w:t xml:space="preserve">                                           socijalnog dijaloga u kontekstu unapređivanja uvjeta rada“</w:t>
            </w:r>
          </w:p>
          <w:p w14:paraId="11CEBF04" w14:textId="0898A71F" w:rsidR="002C6D3D" w:rsidRPr="002C6D3D" w:rsidRDefault="005F51AE" w:rsidP="003F711B">
            <w:pPr>
              <w:autoSpaceDE w:val="0"/>
              <w:autoSpaceDN w:val="0"/>
              <w:adjustRightInd w:val="0"/>
              <w:rPr>
                <w:rFonts w:ascii="Calibri" w:eastAsia="Calibri" w:hAnsi="Calibri" w:cs="Times New Roman"/>
                <w:color w:val="000000"/>
                <w:sz w:val="20"/>
                <w:szCs w:val="20"/>
                <w:lang w:val="hr-HR"/>
              </w:rPr>
            </w:pPr>
            <w:r>
              <w:rPr>
                <w:rFonts w:ascii="Calibri" w:eastAsia="Calibri" w:hAnsi="Calibri" w:cs="Times New Roman"/>
                <w:color w:val="000000"/>
                <w:sz w:val="20"/>
                <w:szCs w:val="20"/>
                <w:lang w:val="hr-HR"/>
              </w:rPr>
              <w:t xml:space="preserve">         </w:t>
            </w:r>
            <w:r w:rsidR="003F711B">
              <w:rPr>
                <w:rFonts w:ascii="Calibri" w:eastAsia="Calibri" w:hAnsi="Calibri" w:cs="Times New Roman"/>
                <w:color w:val="000000"/>
                <w:sz w:val="20"/>
                <w:szCs w:val="20"/>
                <w:lang w:val="hr-HR"/>
              </w:rPr>
              <w:t xml:space="preserve">                                  </w:t>
            </w:r>
            <w:r w:rsidR="002C6D3D" w:rsidRPr="002C6D3D">
              <w:rPr>
                <w:rFonts w:ascii="Calibri" w:eastAsia="Calibri" w:hAnsi="Calibri" w:cs="Times New Roman"/>
                <w:color w:val="000000"/>
                <w:sz w:val="20"/>
                <w:szCs w:val="20"/>
                <w:lang w:val="hr-HR"/>
              </w:rPr>
              <w:t>Broj Poziva: UP.0</w:t>
            </w:r>
            <w:r w:rsidR="00443DD5">
              <w:rPr>
                <w:rFonts w:ascii="Calibri" w:eastAsia="Calibri" w:hAnsi="Calibri" w:cs="Times New Roman"/>
                <w:color w:val="000000"/>
                <w:sz w:val="20"/>
                <w:szCs w:val="20"/>
                <w:lang w:val="hr-HR"/>
              </w:rPr>
              <w:t>4.2.1.0</w:t>
            </w:r>
            <w:r>
              <w:rPr>
                <w:rFonts w:ascii="Calibri" w:eastAsia="Calibri" w:hAnsi="Calibri" w:cs="Times New Roman"/>
                <w:color w:val="000000"/>
                <w:sz w:val="20"/>
                <w:szCs w:val="20"/>
                <w:lang w:val="hr-HR"/>
              </w:rPr>
              <w:t>6</w:t>
            </w:r>
          </w:p>
        </w:tc>
      </w:tr>
    </w:tbl>
    <w:p w14:paraId="0A22326D" w14:textId="3E7D1FAF" w:rsidR="00B30A27" w:rsidRDefault="00B30A27">
      <w:pPr>
        <w:rPr>
          <w:lang w:val="hr-HR"/>
        </w:rPr>
      </w:pPr>
    </w:p>
    <w:p w14:paraId="5CF53877" w14:textId="77777777" w:rsidR="002C6D3D" w:rsidRDefault="002C6D3D">
      <w:pPr>
        <w:rPr>
          <w:lang w:val="hr-HR"/>
        </w:rPr>
      </w:pPr>
    </w:p>
    <w:p w14:paraId="46842843" w14:textId="77777777" w:rsidR="002C6D3D" w:rsidRPr="002C6D3D" w:rsidRDefault="002C6D3D" w:rsidP="003F711B">
      <w:pPr>
        <w:autoSpaceDE w:val="0"/>
        <w:autoSpaceDN w:val="0"/>
        <w:adjustRightInd w:val="0"/>
        <w:spacing w:after="0" w:line="240" w:lineRule="auto"/>
        <w:jc w:val="center"/>
        <w:rPr>
          <w:rFonts w:ascii="Calibri" w:eastAsia="Calibri" w:hAnsi="Calibri" w:cs="Times New Roman"/>
          <w:color w:val="000000"/>
          <w:sz w:val="28"/>
          <w:szCs w:val="28"/>
          <w:lang w:val="hr-HR"/>
        </w:rPr>
      </w:pPr>
      <w:r w:rsidRPr="002C6D3D">
        <w:rPr>
          <w:rFonts w:ascii="Calibri" w:eastAsia="Calibri" w:hAnsi="Calibri" w:cs="Times New Roman"/>
          <w:color w:val="000000"/>
          <w:sz w:val="28"/>
          <w:szCs w:val="28"/>
          <w:lang w:val="hr-HR"/>
        </w:rPr>
        <w:t>ODGOVORI NA PITANJA</w:t>
      </w:r>
    </w:p>
    <w:p w14:paraId="570975EB" w14:textId="3809EA66" w:rsidR="002C6D3D" w:rsidRPr="002C6D3D" w:rsidRDefault="002C6D3D" w:rsidP="002C6D3D">
      <w:pPr>
        <w:autoSpaceDE w:val="0"/>
        <w:autoSpaceDN w:val="0"/>
        <w:adjustRightInd w:val="0"/>
        <w:spacing w:after="0" w:line="240" w:lineRule="auto"/>
        <w:jc w:val="center"/>
        <w:rPr>
          <w:rFonts w:ascii="Calibri" w:eastAsia="Calibri" w:hAnsi="Calibri" w:cs="Times New Roman"/>
          <w:color w:val="000000"/>
          <w:sz w:val="24"/>
          <w:szCs w:val="24"/>
          <w:lang w:val="hr-HR"/>
        </w:rPr>
      </w:pPr>
      <w:r w:rsidRPr="002C6D3D">
        <w:rPr>
          <w:rFonts w:ascii="Calibri" w:eastAsia="Calibri" w:hAnsi="Calibri" w:cs="Times New Roman"/>
          <w:color w:val="000000"/>
          <w:sz w:val="24"/>
          <w:szCs w:val="24"/>
          <w:lang w:val="hr-HR"/>
        </w:rPr>
        <w:t xml:space="preserve">vezana uz </w:t>
      </w:r>
      <w:r w:rsidR="00946C8B">
        <w:rPr>
          <w:rFonts w:ascii="Calibri" w:eastAsia="Calibri" w:hAnsi="Calibri" w:cs="Times New Roman"/>
          <w:color w:val="000000"/>
          <w:sz w:val="24"/>
          <w:szCs w:val="24"/>
          <w:lang w:val="hr-HR"/>
        </w:rPr>
        <w:t xml:space="preserve">otvoreni privremeni </w:t>
      </w:r>
      <w:r w:rsidRPr="002C6D3D">
        <w:rPr>
          <w:rFonts w:ascii="Calibri" w:eastAsia="Calibri" w:hAnsi="Calibri" w:cs="Times New Roman"/>
          <w:color w:val="000000"/>
          <w:sz w:val="24"/>
          <w:szCs w:val="24"/>
          <w:lang w:val="hr-HR"/>
        </w:rPr>
        <w:t>Poziv na dostavu projektnih prijedloga</w:t>
      </w:r>
    </w:p>
    <w:p w14:paraId="3E5E798C" w14:textId="5BC45B6B" w:rsidR="003F711B" w:rsidRDefault="002C6D3D" w:rsidP="002C6D3D">
      <w:pPr>
        <w:autoSpaceDE w:val="0"/>
        <w:autoSpaceDN w:val="0"/>
        <w:adjustRightInd w:val="0"/>
        <w:spacing w:after="0" w:line="240" w:lineRule="auto"/>
        <w:jc w:val="center"/>
        <w:rPr>
          <w:rFonts w:ascii="Calibri" w:eastAsia="Calibri" w:hAnsi="Calibri" w:cs="Times New Roman"/>
          <w:i/>
          <w:iCs/>
          <w:color w:val="00000A"/>
          <w:sz w:val="32"/>
          <w:szCs w:val="32"/>
          <w:lang w:val="hr-HR"/>
        </w:rPr>
      </w:pPr>
      <w:r w:rsidRPr="002C6D3D">
        <w:rPr>
          <w:rFonts w:ascii="Calibri" w:eastAsia="Calibri" w:hAnsi="Calibri" w:cs="Times New Roman"/>
          <w:i/>
          <w:iCs/>
          <w:color w:val="00000A"/>
          <w:sz w:val="32"/>
          <w:szCs w:val="32"/>
          <w:lang w:val="hr-HR"/>
        </w:rPr>
        <w:t>UP.0</w:t>
      </w:r>
      <w:r w:rsidR="00443DD5">
        <w:rPr>
          <w:rFonts w:ascii="Calibri" w:eastAsia="Calibri" w:hAnsi="Calibri" w:cs="Times New Roman"/>
          <w:i/>
          <w:iCs/>
          <w:color w:val="00000A"/>
          <w:sz w:val="32"/>
          <w:szCs w:val="32"/>
          <w:lang w:val="hr-HR"/>
        </w:rPr>
        <w:t>4</w:t>
      </w:r>
      <w:r w:rsidRPr="002C6D3D">
        <w:rPr>
          <w:rFonts w:ascii="Calibri" w:eastAsia="Calibri" w:hAnsi="Calibri" w:cs="Times New Roman"/>
          <w:i/>
          <w:iCs/>
          <w:color w:val="00000A"/>
          <w:sz w:val="32"/>
          <w:szCs w:val="32"/>
          <w:lang w:val="hr-HR"/>
        </w:rPr>
        <w:t>.</w:t>
      </w:r>
      <w:r w:rsidR="00443DD5">
        <w:rPr>
          <w:rFonts w:ascii="Calibri" w:eastAsia="Calibri" w:hAnsi="Calibri" w:cs="Times New Roman"/>
          <w:i/>
          <w:iCs/>
          <w:color w:val="00000A"/>
          <w:sz w:val="32"/>
          <w:szCs w:val="32"/>
          <w:lang w:val="hr-HR"/>
        </w:rPr>
        <w:t>2</w:t>
      </w:r>
      <w:r w:rsidRPr="002C6D3D">
        <w:rPr>
          <w:rFonts w:ascii="Calibri" w:eastAsia="Calibri" w:hAnsi="Calibri" w:cs="Times New Roman"/>
          <w:i/>
          <w:iCs/>
          <w:color w:val="00000A"/>
          <w:sz w:val="32"/>
          <w:szCs w:val="32"/>
          <w:lang w:val="hr-HR"/>
        </w:rPr>
        <w:t>.1.0</w:t>
      </w:r>
      <w:r w:rsidR="00946C8B">
        <w:rPr>
          <w:rFonts w:ascii="Calibri" w:eastAsia="Calibri" w:hAnsi="Calibri" w:cs="Times New Roman"/>
          <w:i/>
          <w:iCs/>
          <w:color w:val="00000A"/>
          <w:sz w:val="32"/>
          <w:szCs w:val="32"/>
          <w:lang w:val="hr-HR"/>
        </w:rPr>
        <w:t>6</w:t>
      </w:r>
      <w:r w:rsidRPr="002C6D3D">
        <w:rPr>
          <w:rFonts w:ascii="Calibri" w:eastAsia="Calibri" w:hAnsi="Calibri" w:cs="Times New Roman"/>
          <w:i/>
          <w:iCs/>
          <w:color w:val="00000A"/>
          <w:sz w:val="32"/>
          <w:szCs w:val="32"/>
          <w:lang w:val="hr-HR"/>
        </w:rPr>
        <w:t xml:space="preserve"> </w:t>
      </w:r>
      <w:r w:rsidR="00946C8B">
        <w:rPr>
          <w:rFonts w:ascii="Calibri" w:eastAsia="Calibri" w:hAnsi="Calibri" w:cs="Times New Roman"/>
          <w:i/>
          <w:iCs/>
          <w:color w:val="00000A"/>
          <w:sz w:val="32"/>
          <w:szCs w:val="32"/>
          <w:lang w:val="hr-HR"/>
        </w:rPr>
        <w:t>Temats</w:t>
      </w:r>
      <w:r w:rsidR="003F711B">
        <w:rPr>
          <w:rFonts w:ascii="Calibri" w:eastAsia="Calibri" w:hAnsi="Calibri" w:cs="Times New Roman"/>
          <w:i/>
          <w:iCs/>
          <w:color w:val="00000A"/>
          <w:sz w:val="32"/>
          <w:szCs w:val="32"/>
          <w:lang w:val="hr-HR"/>
        </w:rPr>
        <w:t xml:space="preserve">ke mreže za društveno-ekonomski </w:t>
      </w:r>
      <w:r w:rsidR="00946C8B">
        <w:rPr>
          <w:rFonts w:ascii="Calibri" w:eastAsia="Calibri" w:hAnsi="Calibri" w:cs="Times New Roman"/>
          <w:i/>
          <w:iCs/>
          <w:color w:val="00000A"/>
          <w:sz w:val="32"/>
          <w:szCs w:val="32"/>
          <w:lang w:val="hr-HR"/>
        </w:rPr>
        <w:t xml:space="preserve">razvoj te </w:t>
      </w:r>
    </w:p>
    <w:p w14:paraId="20FDA193" w14:textId="4969CF9E" w:rsidR="002C6D3D" w:rsidRPr="002C6D3D" w:rsidRDefault="00946C8B" w:rsidP="002C6D3D">
      <w:pPr>
        <w:autoSpaceDE w:val="0"/>
        <w:autoSpaceDN w:val="0"/>
        <w:adjustRightInd w:val="0"/>
        <w:spacing w:after="0" w:line="240" w:lineRule="auto"/>
        <w:jc w:val="center"/>
        <w:rPr>
          <w:rFonts w:ascii="Calibri" w:eastAsia="Calibri" w:hAnsi="Calibri" w:cs="Times New Roman"/>
          <w:i/>
          <w:iCs/>
          <w:color w:val="00000A"/>
          <w:sz w:val="32"/>
          <w:szCs w:val="32"/>
          <w:lang w:val="hr-HR"/>
        </w:rPr>
      </w:pPr>
      <w:r>
        <w:rPr>
          <w:rFonts w:ascii="Calibri" w:eastAsia="Calibri" w:hAnsi="Calibri" w:cs="Times New Roman"/>
          <w:i/>
          <w:iCs/>
          <w:color w:val="00000A"/>
          <w:sz w:val="32"/>
          <w:szCs w:val="32"/>
          <w:lang w:val="hr-HR"/>
        </w:rPr>
        <w:t>promicanje socijalnog dijaloga u kontekstu unapređivanja uvjeta rada</w:t>
      </w:r>
    </w:p>
    <w:p w14:paraId="3D2C38C7" w14:textId="7E98EB49" w:rsidR="002C6D3D" w:rsidRPr="002C6D3D" w:rsidRDefault="002C6D3D" w:rsidP="002C6D3D">
      <w:pPr>
        <w:autoSpaceDE w:val="0"/>
        <w:autoSpaceDN w:val="0"/>
        <w:adjustRightInd w:val="0"/>
        <w:spacing w:after="0" w:line="240" w:lineRule="auto"/>
        <w:jc w:val="center"/>
        <w:rPr>
          <w:rFonts w:ascii="Calibri" w:eastAsia="Calibri" w:hAnsi="Calibri" w:cs="Times New Roman"/>
          <w:i/>
          <w:iCs/>
          <w:color w:val="00000A"/>
          <w:sz w:val="24"/>
          <w:szCs w:val="24"/>
          <w:lang w:val="hr-HR"/>
        </w:rPr>
      </w:pPr>
      <w:r w:rsidRPr="002C6D3D">
        <w:rPr>
          <w:rFonts w:ascii="Calibri" w:eastAsia="Calibri" w:hAnsi="Calibri" w:cs="Times New Roman"/>
          <w:i/>
          <w:iCs/>
          <w:color w:val="00000A"/>
          <w:sz w:val="24"/>
          <w:szCs w:val="24"/>
          <w:lang w:val="hr-HR"/>
        </w:rPr>
        <w:t xml:space="preserve">Pitanja pristigla na </w:t>
      </w:r>
      <w:proofErr w:type="spellStart"/>
      <w:r w:rsidRPr="002C6D3D">
        <w:rPr>
          <w:rFonts w:ascii="Calibri" w:eastAsia="Calibri" w:hAnsi="Calibri" w:cs="Times New Roman"/>
          <w:i/>
          <w:iCs/>
          <w:color w:val="0000FF"/>
          <w:sz w:val="24"/>
          <w:szCs w:val="24"/>
          <w:lang w:val="hr-HR"/>
        </w:rPr>
        <w:t>esf.info</w:t>
      </w:r>
      <w:proofErr w:type="spellEnd"/>
      <w:r w:rsidRPr="002C6D3D">
        <w:rPr>
          <w:rFonts w:ascii="Calibri" w:eastAsia="Calibri" w:hAnsi="Calibri" w:cs="Times New Roman"/>
          <w:i/>
          <w:iCs/>
          <w:color w:val="0000FF"/>
          <w:sz w:val="24"/>
          <w:szCs w:val="24"/>
          <w:lang w:val="hr-HR"/>
        </w:rPr>
        <w:t>@</w:t>
      </w:r>
      <w:proofErr w:type="spellStart"/>
      <w:r w:rsidRPr="002C6D3D">
        <w:rPr>
          <w:rFonts w:ascii="Calibri" w:eastAsia="Calibri" w:hAnsi="Calibri" w:cs="Times New Roman"/>
          <w:i/>
          <w:iCs/>
          <w:color w:val="0000FF"/>
          <w:sz w:val="24"/>
          <w:szCs w:val="24"/>
          <w:lang w:val="hr-HR"/>
        </w:rPr>
        <w:t>mrms.hr</w:t>
      </w:r>
      <w:proofErr w:type="spellEnd"/>
      <w:r w:rsidRPr="002C6D3D">
        <w:rPr>
          <w:rFonts w:ascii="Calibri" w:eastAsia="Calibri" w:hAnsi="Calibri" w:cs="Times New Roman"/>
          <w:i/>
          <w:iCs/>
          <w:color w:val="0000FF"/>
          <w:sz w:val="24"/>
          <w:szCs w:val="24"/>
          <w:lang w:val="hr-HR"/>
        </w:rPr>
        <w:t xml:space="preserve"> </w:t>
      </w:r>
      <w:r w:rsidRPr="002C6D3D">
        <w:rPr>
          <w:rFonts w:ascii="Calibri" w:eastAsia="Calibri" w:hAnsi="Calibri" w:cs="Times New Roman"/>
          <w:i/>
          <w:iCs/>
          <w:sz w:val="24"/>
          <w:szCs w:val="24"/>
          <w:lang w:val="hr-HR"/>
        </w:rPr>
        <w:t xml:space="preserve">od </w:t>
      </w:r>
      <w:r w:rsidR="00946C8B">
        <w:rPr>
          <w:rFonts w:ascii="Calibri" w:eastAsia="Calibri" w:hAnsi="Calibri" w:cs="Times New Roman"/>
          <w:i/>
          <w:iCs/>
          <w:sz w:val="24"/>
          <w:szCs w:val="24"/>
          <w:lang w:val="hr-HR"/>
        </w:rPr>
        <w:t>4</w:t>
      </w:r>
      <w:r w:rsidRPr="002C6D3D">
        <w:rPr>
          <w:rFonts w:ascii="Calibri" w:eastAsia="Calibri" w:hAnsi="Calibri" w:cs="Times New Roman"/>
          <w:i/>
          <w:iCs/>
          <w:sz w:val="24"/>
          <w:szCs w:val="24"/>
          <w:lang w:val="hr-HR"/>
        </w:rPr>
        <w:t xml:space="preserve">. svibnja </w:t>
      </w:r>
      <w:r w:rsidRPr="002C6D3D">
        <w:rPr>
          <w:rFonts w:ascii="Calibri" w:eastAsia="Calibri" w:hAnsi="Calibri" w:cs="Times New Roman"/>
          <w:i/>
          <w:iCs/>
          <w:color w:val="00000A"/>
          <w:sz w:val="24"/>
          <w:szCs w:val="24"/>
          <w:lang w:val="hr-HR"/>
        </w:rPr>
        <w:t xml:space="preserve">do </w:t>
      </w:r>
      <w:r w:rsidR="00A83024">
        <w:rPr>
          <w:rFonts w:ascii="Calibri" w:eastAsia="Calibri" w:hAnsi="Calibri" w:cs="Times New Roman"/>
          <w:i/>
          <w:iCs/>
          <w:color w:val="00000A"/>
          <w:sz w:val="24"/>
          <w:szCs w:val="24"/>
          <w:lang w:val="hr-HR"/>
        </w:rPr>
        <w:t>17</w:t>
      </w:r>
      <w:r w:rsidRPr="002C6D3D">
        <w:rPr>
          <w:rFonts w:ascii="Calibri" w:eastAsia="Calibri" w:hAnsi="Calibri" w:cs="Times New Roman"/>
          <w:i/>
          <w:iCs/>
          <w:color w:val="00000A"/>
          <w:sz w:val="24"/>
          <w:szCs w:val="24"/>
          <w:lang w:val="hr-HR"/>
        </w:rPr>
        <w:t xml:space="preserve">. </w:t>
      </w:r>
      <w:r w:rsidR="00F84DED">
        <w:rPr>
          <w:rFonts w:ascii="Calibri" w:eastAsia="Calibri" w:hAnsi="Calibri" w:cs="Times New Roman"/>
          <w:i/>
          <w:iCs/>
          <w:color w:val="00000A"/>
          <w:sz w:val="24"/>
          <w:szCs w:val="24"/>
          <w:lang w:val="hr-HR"/>
        </w:rPr>
        <w:t>lipnja 2018</w:t>
      </w:r>
      <w:r w:rsidRPr="002C6D3D">
        <w:rPr>
          <w:rFonts w:ascii="Calibri" w:eastAsia="Calibri" w:hAnsi="Calibri" w:cs="Times New Roman"/>
          <w:i/>
          <w:iCs/>
          <w:color w:val="00000A"/>
          <w:sz w:val="24"/>
          <w:szCs w:val="24"/>
          <w:lang w:val="hr-HR"/>
        </w:rPr>
        <w:t>.</w:t>
      </w:r>
      <w:r w:rsidR="00F84DED">
        <w:rPr>
          <w:rFonts w:ascii="Calibri" w:eastAsia="Calibri" w:hAnsi="Calibri" w:cs="Times New Roman"/>
          <w:i/>
          <w:iCs/>
          <w:color w:val="00000A"/>
          <w:sz w:val="24"/>
          <w:szCs w:val="24"/>
          <w:lang w:val="hr-HR"/>
        </w:rPr>
        <w:t xml:space="preserve"> godine</w:t>
      </w:r>
    </w:p>
    <w:p w14:paraId="648B02DB" w14:textId="77777777" w:rsidR="002C6D3D" w:rsidRPr="002C6D3D" w:rsidRDefault="002C6D3D" w:rsidP="002C6D3D">
      <w:pPr>
        <w:autoSpaceDE w:val="0"/>
        <w:autoSpaceDN w:val="0"/>
        <w:adjustRightInd w:val="0"/>
        <w:spacing w:after="0" w:line="240" w:lineRule="auto"/>
        <w:jc w:val="center"/>
        <w:rPr>
          <w:rFonts w:ascii="Calibri" w:eastAsia="Calibri" w:hAnsi="Calibri" w:cs="Times New Roman"/>
          <w:color w:val="000000"/>
          <w:sz w:val="24"/>
          <w:szCs w:val="24"/>
          <w:lang w:val="hr-HR"/>
        </w:rPr>
      </w:pPr>
    </w:p>
    <w:p w14:paraId="1D5148F8" w14:textId="77777777" w:rsid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U interesu jednakog postupanja prema svim prijaviteljima, Ministarstvo rada i</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 xml:space="preserve">mirovinskoga sustava </w:t>
      </w:r>
    </w:p>
    <w:p w14:paraId="49770644" w14:textId="6695F5E4" w:rsid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u okviru ovog dokumenta, a čija je svrha pojasniti uvjete</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 xml:space="preserve">natječajne dokumentacije, daje mišljenje o </w:t>
      </w:r>
    </w:p>
    <w:p w14:paraId="7291BC1B" w14:textId="77777777" w:rsid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prihvatljivosti određenog prijavitelja,</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 xml:space="preserve">projekta ili aktivnosti u okviru dostupnih informacija iz pitanja </w:t>
      </w:r>
    </w:p>
    <w:p w14:paraId="2B694F13" w14:textId="7080F2D9" w:rsidR="002C6D3D" w:rsidRPr="005227C6" w:rsidRDefault="002C6D3D" w:rsidP="005227C6">
      <w:pPr>
        <w:autoSpaceDE w:val="0"/>
        <w:autoSpaceDN w:val="0"/>
        <w:adjustRightInd w:val="0"/>
        <w:spacing w:after="0" w:line="240" w:lineRule="auto"/>
        <w:jc w:val="center"/>
        <w:rPr>
          <w:rFonts w:ascii="Calibri" w:eastAsia="Calibri" w:hAnsi="Calibri" w:cs="Times New Roman"/>
          <w:color w:val="000000"/>
          <w:lang w:val="hr-HR"/>
        </w:rPr>
      </w:pPr>
      <w:r w:rsidRPr="002C6D3D">
        <w:rPr>
          <w:rFonts w:ascii="Calibri" w:eastAsia="Calibri" w:hAnsi="Calibri" w:cs="Times New Roman"/>
          <w:color w:val="000000"/>
          <w:lang w:val="hr-HR"/>
        </w:rPr>
        <w:t>dostavljenih od strane</w:t>
      </w:r>
      <w:r w:rsidR="005227C6">
        <w:rPr>
          <w:rFonts w:ascii="Calibri" w:eastAsia="Calibri" w:hAnsi="Calibri" w:cs="Times New Roman"/>
          <w:color w:val="000000"/>
          <w:lang w:val="hr-HR"/>
        </w:rPr>
        <w:t xml:space="preserve"> </w:t>
      </w:r>
      <w:r w:rsidRPr="002C6D3D">
        <w:rPr>
          <w:rFonts w:ascii="Calibri" w:eastAsia="Calibri" w:hAnsi="Calibri" w:cs="Times New Roman"/>
          <w:color w:val="000000"/>
          <w:lang w:val="hr-HR"/>
        </w:rPr>
        <w:t>potencijalnih prijavitelja.</w:t>
      </w:r>
      <w:r w:rsidR="00AA49FD" w:rsidRPr="00AA49FD">
        <w:rPr>
          <w:rFonts w:ascii="Calibri" w:eastAsia="Calibri" w:hAnsi="Calibri" w:cs="Times New Roman"/>
          <w:color w:val="000000"/>
          <w:lang w:val="hr-HR"/>
        </w:rPr>
        <w:br/>
      </w:r>
    </w:p>
    <w:tbl>
      <w:tblPr>
        <w:tblStyle w:val="Reetkatablice"/>
        <w:tblW w:w="13326" w:type="dxa"/>
        <w:tblInd w:w="-318" w:type="dxa"/>
        <w:tblLayout w:type="fixed"/>
        <w:tblLook w:val="04A0" w:firstRow="1" w:lastRow="0" w:firstColumn="1" w:lastColumn="0" w:noHBand="0" w:noVBand="1"/>
      </w:tblPr>
      <w:tblGrid>
        <w:gridCol w:w="568"/>
        <w:gridCol w:w="6237"/>
        <w:gridCol w:w="6521"/>
      </w:tblGrid>
      <w:tr w:rsidR="00460937" w:rsidRPr="002E5B78" w14:paraId="4B1D5C64" w14:textId="77777777" w:rsidTr="008D0113">
        <w:tc>
          <w:tcPr>
            <w:tcW w:w="568" w:type="dxa"/>
          </w:tcPr>
          <w:p w14:paraId="020B4D05" w14:textId="77777777" w:rsidR="00460937" w:rsidRPr="00621224" w:rsidRDefault="00460937" w:rsidP="00533173">
            <w:pPr>
              <w:jc w:val="center"/>
              <w:rPr>
                <w:b/>
                <w:lang w:val="hr-HR"/>
              </w:rPr>
            </w:pPr>
            <w:r w:rsidRPr="00621224">
              <w:rPr>
                <w:b/>
                <w:lang w:val="hr-HR"/>
              </w:rPr>
              <w:t>RB.</w:t>
            </w:r>
          </w:p>
        </w:tc>
        <w:tc>
          <w:tcPr>
            <w:tcW w:w="6237" w:type="dxa"/>
          </w:tcPr>
          <w:p w14:paraId="06966660" w14:textId="77777777" w:rsidR="00460937" w:rsidRPr="00621224" w:rsidRDefault="00460937" w:rsidP="000C6C46">
            <w:pPr>
              <w:jc w:val="center"/>
              <w:rPr>
                <w:b/>
                <w:lang w:val="hr-HR"/>
              </w:rPr>
            </w:pPr>
            <w:r w:rsidRPr="00621224">
              <w:rPr>
                <w:b/>
                <w:lang w:val="hr-HR"/>
              </w:rPr>
              <w:t>PITANJ</w:t>
            </w:r>
            <w:r w:rsidR="000C6C46" w:rsidRPr="00621224">
              <w:rPr>
                <w:b/>
                <w:lang w:val="hr-HR"/>
              </w:rPr>
              <w:t>A</w:t>
            </w:r>
          </w:p>
        </w:tc>
        <w:tc>
          <w:tcPr>
            <w:tcW w:w="6521" w:type="dxa"/>
          </w:tcPr>
          <w:p w14:paraId="52E23523" w14:textId="77777777" w:rsidR="00460937" w:rsidRPr="00621224" w:rsidRDefault="000C6C46" w:rsidP="00A33642">
            <w:pPr>
              <w:jc w:val="center"/>
              <w:rPr>
                <w:b/>
                <w:lang w:val="hr-HR"/>
              </w:rPr>
            </w:pPr>
            <w:r w:rsidRPr="00621224">
              <w:rPr>
                <w:b/>
                <w:lang w:val="hr-HR"/>
              </w:rPr>
              <w:t>ODGOVORI</w:t>
            </w:r>
          </w:p>
        </w:tc>
      </w:tr>
      <w:tr w:rsidR="00BC4F6E" w:rsidRPr="00485B59" w14:paraId="5206857A" w14:textId="77777777" w:rsidTr="002575EA">
        <w:tc>
          <w:tcPr>
            <w:tcW w:w="568" w:type="dxa"/>
          </w:tcPr>
          <w:p w14:paraId="406E4D55" w14:textId="1FDD2119" w:rsidR="00BC4F6E" w:rsidRPr="00533173" w:rsidRDefault="00BC4F6E" w:rsidP="00533173">
            <w:pPr>
              <w:jc w:val="center"/>
              <w:rPr>
                <w:lang w:val="hr-HR"/>
              </w:rPr>
            </w:pPr>
          </w:p>
        </w:tc>
        <w:tc>
          <w:tcPr>
            <w:tcW w:w="12758" w:type="dxa"/>
            <w:gridSpan w:val="2"/>
          </w:tcPr>
          <w:p w14:paraId="53C54575" w14:textId="697209F6" w:rsidR="00BC4F6E" w:rsidRDefault="00BC4F6E" w:rsidP="00BC4F6E">
            <w:pPr>
              <w:jc w:val="center"/>
              <w:rPr>
                <w:lang w:val="hr-HR"/>
              </w:rPr>
            </w:pPr>
            <w:r w:rsidRPr="00621224">
              <w:rPr>
                <w:b/>
                <w:i/>
                <w:lang w:val="hr-HR"/>
              </w:rPr>
              <w:t>KOMPONENTA 1</w:t>
            </w:r>
          </w:p>
        </w:tc>
      </w:tr>
      <w:tr w:rsidR="000C6C46" w:rsidRPr="00485B59" w14:paraId="3ED4C9D8" w14:textId="77777777" w:rsidTr="008D0113">
        <w:tc>
          <w:tcPr>
            <w:tcW w:w="568" w:type="dxa"/>
          </w:tcPr>
          <w:p w14:paraId="5F3B6958" w14:textId="77CEA7EE" w:rsidR="000C6C46" w:rsidRPr="00533173" w:rsidRDefault="00435D96" w:rsidP="00533173">
            <w:pPr>
              <w:jc w:val="center"/>
              <w:rPr>
                <w:lang w:val="hr-HR"/>
              </w:rPr>
            </w:pPr>
            <w:r>
              <w:rPr>
                <w:lang w:val="hr-HR"/>
              </w:rPr>
              <w:t>1.</w:t>
            </w:r>
          </w:p>
        </w:tc>
        <w:tc>
          <w:tcPr>
            <w:tcW w:w="6237" w:type="dxa"/>
          </w:tcPr>
          <w:p w14:paraId="0B60E41A" w14:textId="48B82DF7" w:rsidR="00AE4A5E" w:rsidRDefault="00435D96" w:rsidP="009828D2">
            <w:pPr>
              <w:jc w:val="both"/>
              <w:rPr>
                <w:lang w:val="hr-HR"/>
              </w:rPr>
            </w:pPr>
            <w:r w:rsidRPr="00435D96">
              <w:rPr>
                <w:lang w:val="hr-HR"/>
              </w:rPr>
              <w:t>U Uputama za prijavitelje</w:t>
            </w:r>
            <w:r w:rsidR="00467072">
              <w:rPr>
                <w:lang w:val="hr-HR"/>
              </w:rPr>
              <w:t>,</w:t>
            </w:r>
            <w:r w:rsidRPr="00435D96">
              <w:rPr>
                <w:lang w:val="hr-HR"/>
              </w:rPr>
              <w:t xml:space="preserve"> točki 1.5. Pokazatelji</w:t>
            </w:r>
            <w:r>
              <w:rPr>
                <w:lang w:val="hr-HR"/>
              </w:rPr>
              <w:t>,</w:t>
            </w:r>
            <w:r w:rsidRPr="00435D96">
              <w:rPr>
                <w:lang w:val="hr-HR"/>
              </w:rPr>
              <w:t xml:space="preserve"> navodi se pod Specifični</w:t>
            </w:r>
            <w:r w:rsidR="00DF0204">
              <w:rPr>
                <w:lang w:val="hr-HR"/>
              </w:rPr>
              <w:t>m</w:t>
            </w:r>
            <w:r w:rsidRPr="00435D96">
              <w:rPr>
                <w:lang w:val="hr-HR"/>
              </w:rPr>
              <w:t xml:space="preserve"> pokazatelji</w:t>
            </w:r>
            <w:r w:rsidR="00DF0204">
              <w:rPr>
                <w:lang w:val="hr-HR"/>
              </w:rPr>
              <w:t>ma</w:t>
            </w:r>
            <w:r w:rsidR="00467072">
              <w:rPr>
                <w:lang w:val="hr-HR"/>
              </w:rPr>
              <w:t xml:space="preserve"> P</w:t>
            </w:r>
            <w:r w:rsidRPr="00435D96">
              <w:rPr>
                <w:lang w:val="hr-HR"/>
              </w:rPr>
              <w:t xml:space="preserve">oziva sljedeće: </w:t>
            </w:r>
            <w:r>
              <w:rPr>
                <w:lang w:val="hr-HR"/>
              </w:rPr>
              <w:t>br. 4. „</w:t>
            </w:r>
            <w:r w:rsidRPr="00435D96">
              <w:rPr>
                <w:lang w:val="hr-HR"/>
              </w:rPr>
              <w:t>Broj prov</w:t>
            </w:r>
            <w:r>
              <w:rPr>
                <w:lang w:val="hr-HR"/>
              </w:rPr>
              <w:t>edenih znanstvenih istraživanja“</w:t>
            </w:r>
            <w:r w:rsidR="00AE4A5E">
              <w:rPr>
                <w:lang w:val="hr-HR"/>
              </w:rPr>
              <w:t>, Opis pokazatelja „</w:t>
            </w:r>
            <w:r w:rsidRPr="00435D96">
              <w:rPr>
                <w:lang w:val="hr-HR"/>
              </w:rPr>
              <w:t>Broj provedenih znanstvenih istraživanj</w:t>
            </w:r>
            <w:r w:rsidR="00AE4A5E">
              <w:rPr>
                <w:lang w:val="hr-HR"/>
              </w:rPr>
              <w:t xml:space="preserve">a u minimalnoj vrijednosti od 3“; </w:t>
            </w:r>
            <w:r w:rsidRPr="00435D96">
              <w:rPr>
                <w:lang w:val="hr-HR"/>
              </w:rPr>
              <w:t xml:space="preserve">br. 6. </w:t>
            </w:r>
            <w:r w:rsidR="00AE4A5E">
              <w:rPr>
                <w:lang w:val="hr-HR"/>
              </w:rPr>
              <w:t>„</w:t>
            </w:r>
            <w:r w:rsidRPr="00435D96">
              <w:rPr>
                <w:lang w:val="hr-HR"/>
              </w:rPr>
              <w:t>Broj objavljenih znanstvenih članaka</w:t>
            </w:r>
            <w:r w:rsidR="00AE4A5E">
              <w:rPr>
                <w:lang w:val="hr-HR"/>
              </w:rPr>
              <w:t>“, Opis pokazatelja „</w:t>
            </w:r>
            <w:r w:rsidRPr="00435D96">
              <w:rPr>
                <w:lang w:val="hr-HR"/>
              </w:rPr>
              <w:t>Broj objavljenih znanstvenih članak</w:t>
            </w:r>
            <w:r w:rsidR="00AE4A5E">
              <w:rPr>
                <w:lang w:val="hr-HR"/>
              </w:rPr>
              <w:t>a u minimalnoj vrijednosti od 6“; br. 10. „</w:t>
            </w:r>
            <w:r w:rsidRPr="00435D96">
              <w:rPr>
                <w:lang w:val="hr-HR"/>
              </w:rPr>
              <w:t>Broj prov</w:t>
            </w:r>
            <w:r w:rsidR="00AE4A5E">
              <w:rPr>
                <w:lang w:val="hr-HR"/>
              </w:rPr>
              <w:t>edenih znanstvenih istraživanja“, Opis pokazatelja „</w:t>
            </w:r>
            <w:r w:rsidRPr="00435D96">
              <w:rPr>
                <w:lang w:val="hr-HR"/>
              </w:rPr>
              <w:t>Broj provedenih znanstvenih istraživanja u mi</w:t>
            </w:r>
            <w:r w:rsidR="00AE4A5E">
              <w:rPr>
                <w:lang w:val="hr-HR"/>
              </w:rPr>
              <w:t>nimalnoj vrijednosti od 3“</w:t>
            </w:r>
            <w:r w:rsidRPr="00435D96">
              <w:rPr>
                <w:lang w:val="hr-HR"/>
              </w:rPr>
              <w:t>.</w:t>
            </w:r>
            <w:r w:rsidR="00A363DD">
              <w:rPr>
                <w:lang w:val="hr-HR"/>
              </w:rPr>
              <w:t xml:space="preserve"> </w:t>
            </w:r>
            <w:r w:rsidR="00AE4A5E">
              <w:rPr>
                <w:lang w:val="hr-HR"/>
              </w:rPr>
              <w:t>Smatramo da o</w:t>
            </w:r>
            <w:r w:rsidR="00AE4A5E" w:rsidRPr="00AE4A5E">
              <w:rPr>
                <w:lang w:val="hr-HR"/>
              </w:rPr>
              <w:t>vako formulirani pokazatelji ne odgovaraju definiranim ciljevima i p</w:t>
            </w:r>
            <w:r w:rsidR="008C200E">
              <w:rPr>
                <w:lang w:val="hr-HR"/>
              </w:rPr>
              <w:t>otrebama prikazanim u točki 1.4</w:t>
            </w:r>
            <w:r w:rsidR="00AE4A5E">
              <w:rPr>
                <w:lang w:val="hr-HR"/>
              </w:rPr>
              <w:t xml:space="preserve"> (Opći cilj</w:t>
            </w:r>
            <w:r w:rsidR="00AE4A5E" w:rsidRPr="00AE4A5E">
              <w:rPr>
                <w:lang w:val="hr-HR"/>
              </w:rPr>
              <w:t xml:space="preserve"> </w:t>
            </w:r>
            <w:r w:rsidR="00AE4A5E">
              <w:rPr>
                <w:lang w:val="hr-HR"/>
              </w:rPr>
              <w:t xml:space="preserve">i Specifični cilj za Komponentu 1). </w:t>
            </w:r>
            <w:r w:rsidR="00AE4A5E" w:rsidRPr="00AE4A5E">
              <w:rPr>
                <w:lang w:val="hr-HR"/>
              </w:rPr>
              <w:t>Obzirom da su ciljevi formulirani na način da praktički isključuju temeljna znanstvena istraživanja koja nisu orijentirana na iskoristivu vrijednost, već je primarno riječ o primijenjenim znanstvenim istraživanjima koja su unaprijed orijentirana na praktične ciljeve i koristi</w:t>
            </w:r>
            <w:r w:rsidR="00AE4A5E">
              <w:rPr>
                <w:lang w:val="hr-HR"/>
              </w:rPr>
              <w:t>,</w:t>
            </w:r>
            <w:r w:rsidR="00AE4A5E" w:rsidRPr="00AE4A5E">
              <w:rPr>
                <w:lang w:val="hr-HR"/>
              </w:rPr>
              <w:t xml:space="preserve"> </w:t>
            </w:r>
            <w:r w:rsidR="00AE4A5E">
              <w:rPr>
                <w:lang w:val="hr-HR"/>
              </w:rPr>
              <w:t>predlažemo</w:t>
            </w:r>
            <w:r w:rsidR="00AE4A5E" w:rsidRPr="00AE4A5E">
              <w:rPr>
                <w:lang w:val="hr-HR"/>
              </w:rPr>
              <w:t xml:space="preserve"> izmje</w:t>
            </w:r>
            <w:r w:rsidR="00AE4A5E">
              <w:rPr>
                <w:lang w:val="hr-HR"/>
              </w:rPr>
              <w:t xml:space="preserve">nu </w:t>
            </w:r>
            <w:r w:rsidR="00AE4A5E">
              <w:rPr>
                <w:lang w:val="hr-HR"/>
              </w:rPr>
              <w:lastRenderedPageBreak/>
              <w:t>Specifičnog pokazatelja Poziva pod red. br.</w:t>
            </w:r>
            <w:r w:rsidR="00AE4A5E" w:rsidRPr="00AE4A5E">
              <w:rPr>
                <w:lang w:val="hr-HR"/>
              </w:rPr>
              <w:t xml:space="preserve"> 6 na način </w:t>
            </w:r>
            <w:r w:rsidR="00AE4A5E">
              <w:rPr>
                <w:lang w:val="hr-HR"/>
              </w:rPr>
              <w:t>da se u opisu pokazatelja doda „i stručnih radova“</w:t>
            </w:r>
            <w:r w:rsidR="00AE4A5E" w:rsidRPr="00AE4A5E">
              <w:rPr>
                <w:lang w:val="hr-HR"/>
              </w:rPr>
              <w:t xml:space="preserve">. </w:t>
            </w:r>
            <w:r w:rsidR="00AE4A5E">
              <w:rPr>
                <w:lang w:val="hr-HR"/>
              </w:rPr>
              <w:t>Smatramo da je to</w:t>
            </w:r>
            <w:r w:rsidR="00AE4A5E" w:rsidRPr="00AE4A5E">
              <w:rPr>
                <w:lang w:val="hr-HR"/>
              </w:rPr>
              <w:t xml:space="preserve"> opravdano</w:t>
            </w:r>
            <w:r w:rsidR="00AE4A5E">
              <w:rPr>
                <w:lang w:val="hr-HR"/>
              </w:rPr>
              <w:t xml:space="preserve"> i zbog toga što se u točki 3.3 pod Prihvatljivim</w:t>
            </w:r>
            <w:r w:rsidR="00AE4A5E" w:rsidRPr="00AE4A5E">
              <w:rPr>
                <w:lang w:val="hr-HR"/>
              </w:rPr>
              <w:t xml:space="preserve"> aktivnosti</w:t>
            </w:r>
            <w:r w:rsidR="00AE4A5E">
              <w:rPr>
                <w:lang w:val="hr-HR"/>
              </w:rPr>
              <w:t>ma</w:t>
            </w:r>
            <w:r w:rsidR="00AE4A5E" w:rsidRPr="00AE4A5E">
              <w:rPr>
                <w:lang w:val="hr-HR"/>
              </w:rPr>
              <w:t xml:space="preserve"> </w:t>
            </w:r>
            <w:r w:rsidR="00AE4A5E">
              <w:rPr>
                <w:lang w:val="hr-HR"/>
              </w:rPr>
              <w:t>u Elementu 4</w:t>
            </w:r>
            <w:r w:rsidR="00AE4A5E" w:rsidRPr="00AE4A5E">
              <w:rPr>
                <w:lang w:val="hr-HR"/>
              </w:rPr>
              <w:t xml:space="preserve"> </w:t>
            </w:r>
            <w:r w:rsidR="00AE4A5E">
              <w:rPr>
                <w:lang w:val="hr-HR"/>
              </w:rPr>
              <w:t>navodi da se provedba „znanstvenih istraživanja“</w:t>
            </w:r>
            <w:r w:rsidR="00AE4A5E" w:rsidRPr="00AE4A5E">
              <w:rPr>
                <w:lang w:val="hr-HR"/>
              </w:rPr>
              <w:t xml:space="preserve"> treba izvršiti u suradnji organizacija civilnoga društva i znanstvenih institucija, kao i priprema, pisanje i objava znanstvenih članaka</w:t>
            </w:r>
            <w:r w:rsidR="009828D2">
              <w:rPr>
                <w:lang w:val="hr-HR"/>
              </w:rPr>
              <w:t>.</w:t>
            </w:r>
            <w:r w:rsidR="00BB40AD">
              <w:rPr>
                <w:lang w:val="hr-HR"/>
              </w:rPr>
              <w:t xml:space="preserve"> </w:t>
            </w:r>
            <w:r w:rsidR="009828D2">
              <w:rPr>
                <w:lang w:val="hr-HR"/>
              </w:rPr>
              <w:t xml:space="preserve">Smatramo da bi </w:t>
            </w:r>
            <w:r w:rsidR="009828D2" w:rsidRPr="009828D2">
              <w:rPr>
                <w:lang w:val="hr-HR"/>
              </w:rPr>
              <w:t>t</w:t>
            </w:r>
            <w:r w:rsidR="00AE4A5E" w:rsidRPr="009828D2">
              <w:rPr>
                <w:lang w:val="hr-HR"/>
              </w:rPr>
              <w:t>ako postavljeni zahtjevi iz opisa aktivnosti za znanstvena istraživanja i objavu znanstvenih članaka bili problematični sa stajališta etičkih normi znanstvenih istraživanja i standarda provedbe znanstvenih istraživanja i objave znanstvenih radova, a ukol</w:t>
            </w:r>
            <w:r w:rsidR="0014735F">
              <w:rPr>
                <w:lang w:val="hr-HR"/>
              </w:rPr>
              <w:t>iko se pokazatelji iz točke 1.5</w:t>
            </w:r>
            <w:r w:rsidR="00AE4A5E" w:rsidRPr="009828D2">
              <w:rPr>
                <w:lang w:val="hr-HR"/>
              </w:rPr>
              <w:t xml:space="preserve"> ne bi izmijenili </w:t>
            </w:r>
            <w:r w:rsidR="009828D2">
              <w:rPr>
                <w:lang w:val="hr-HR"/>
              </w:rPr>
              <w:t>tako</w:t>
            </w:r>
            <w:r w:rsidR="00AE4A5E" w:rsidRPr="009828D2">
              <w:rPr>
                <w:lang w:val="hr-HR"/>
              </w:rPr>
              <w:t xml:space="preserve"> da se obuhvate i stručni</w:t>
            </w:r>
            <w:r w:rsidR="009828D2">
              <w:rPr>
                <w:lang w:val="hr-HR"/>
              </w:rPr>
              <w:t xml:space="preserve"> radovi.</w:t>
            </w:r>
          </w:p>
          <w:p w14:paraId="4A160D63" w14:textId="63B83327" w:rsidR="004E166D" w:rsidRDefault="004E166D" w:rsidP="009828D2">
            <w:pPr>
              <w:jc w:val="both"/>
              <w:rPr>
                <w:lang w:val="hr-HR"/>
              </w:rPr>
            </w:pPr>
          </w:p>
        </w:tc>
        <w:tc>
          <w:tcPr>
            <w:tcW w:w="6521" w:type="dxa"/>
          </w:tcPr>
          <w:p w14:paraId="4AE14304" w14:textId="714F117A" w:rsidR="00336F52" w:rsidRPr="00937000" w:rsidRDefault="00336F52" w:rsidP="00335FA6">
            <w:pPr>
              <w:jc w:val="both"/>
              <w:rPr>
                <w:lang w:val="hr-HR"/>
              </w:rPr>
            </w:pPr>
            <w:r>
              <w:rPr>
                <w:lang w:val="hr-HR"/>
              </w:rPr>
              <w:lastRenderedPageBreak/>
              <w:t xml:space="preserve">Izmjenom natječajne dokumentacije pod </w:t>
            </w:r>
            <w:r w:rsidR="00335FA6">
              <w:rPr>
                <w:lang w:val="hr-HR"/>
              </w:rPr>
              <w:t xml:space="preserve">Specifičnim pokazateljem br. 10 utvrđen je pokazatelj </w:t>
            </w:r>
            <w:r>
              <w:rPr>
                <w:lang w:val="hr-HR"/>
              </w:rPr>
              <w:t>„Broj objavljenih stručnih članaka“.</w:t>
            </w:r>
            <w:r w:rsidR="00335FA6">
              <w:rPr>
                <w:lang w:val="hr-HR"/>
              </w:rPr>
              <w:t xml:space="preserve"> </w:t>
            </w:r>
            <w:r w:rsidRPr="00937000">
              <w:rPr>
                <w:lang w:val="hr-HR"/>
              </w:rPr>
              <w:t>Izmjen</w:t>
            </w:r>
            <w:r w:rsidR="00335FA6">
              <w:rPr>
                <w:lang w:val="hr-HR"/>
              </w:rPr>
              <w:t>a</w:t>
            </w:r>
            <w:r w:rsidRPr="00937000">
              <w:rPr>
                <w:lang w:val="hr-HR"/>
              </w:rPr>
              <w:t xml:space="preserve"> </w:t>
            </w:r>
            <w:r>
              <w:rPr>
                <w:lang w:val="hr-HR"/>
              </w:rPr>
              <w:t>S</w:t>
            </w:r>
            <w:r w:rsidRPr="00937000">
              <w:rPr>
                <w:lang w:val="hr-HR"/>
              </w:rPr>
              <w:t>pecifičnog pokazatelja Poziva br. 6</w:t>
            </w:r>
            <w:r>
              <w:rPr>
                <w:lang w:val="hr-HR"/>
              </w:rPr>
              <w:t xml:space="preserve">. </w:t>
            </w:r>
            <w:r w:rsidRPr="000901B7">
              <w:rPr>
                <w:lang w:val="hr-HR"/>
              </w:rPr>
              <w:t>„Broj objavljenih znanstvenih članaka“</w:t>
            </w:r>
            <w:r w:rsidRPr="00937000">
              <w:rPr>
                <w:lang w:val="hr-HR"/>
              </w:rPr>
              <w:t xml:space="preserve">  na način </w:t>
            </w:r>
            <w:r>
              <w:rPr>
                <w:lang w:val="hr-HR"/>
              </w:rPr>
              <w:t>da se u opisu pokazatelja doda „i stručnih radova“</w:t>
            </w:r>
            <w:r w:rsidRPr="00937000">
              <w:rPr>
                <w:lang w:val="hr-HR"/>
              </w:rPr>
              <w:t xml:space="preserve"> značila </w:t>
            </w:r>
            <w:r>
              <w:rPr>
                <w:lang w:val="hr-HR"/>
              </w:rPr>
              <w:t>bi spajanje tog pokazatelja sa S</w:t>
            </w:r>
            <w:r w:rsidRPr="00937000">
              <w:rPr>
                <w:lang w:val="hr-HR"/>
              </w:rPr>
              <w:t>pecifičn</w:t>
            </w:r>
            <w:r>
              <w:rPr>
                <w:lang w:val="hr-HR"/>
              </w:rPr>
              <w:t xml:space="preserve">im pokazateljem Poziva br. 10 </w:t>
            </w:r>
            <w:r w:rsidRPr="000901B7">
              <w:rPr>
                <w:lang w:val="hr-HR"/>
              </w:rPr>
              <w:t>„Broj objavljenih stručnih članaka“</w:t>
            </w:r>
            <w:r>
              <w:rPr>
                <w:lang w:val="hr-HR"/>
              </w:rPr>
              <w:t xml:space="preserve">. </w:t>
            </w:r>
          </w:p>
        </w:tc>
      </w:tr>
      <w:tr w:rsidR="0089478E" w:rsidRPr="00485B59" w14:paraId="003A46EA" w14:textId="77777777" w:rsidTr="008D0113">
        <w:tc>
          <w:tcPr>
            <w:tcW w:w="568" w:type="dxa"/>
          </w:tcPr>
          <w:p w14:paraId="045031B3" w14:textId="37913827" w:rsidR="0089478E" w:rsidRPr="00533173" w:rsidRDefault="008B7CE3" w:rsidP="00533173">
            <w:pPr>
              <w:jc w:val="center"/>
              <w:rPr>
                <w:lang w:val="hr-HR"/>
              </w:rPr>
            </w:pPr>
            <w:r>
              <w:rPr>
                <w:lang w:val="hr-HR"/>
              </w:rPr>
              <w:lastRenderedPageBreak/>
              <w:t>2</w:t>
            </w:r>
            <w:r w:rsidR="00533173">
              <w:rPr>
                <w:lang w:val="hr-HR"/>
              </w:rPr>
              <w:t>.</w:t>
            </w:r>
          </w:p>
        </w:tc>
        <w:tc>
          <w:tcPr>
            <w:tcW w:w="6237" w:type="dxa"/>
          </w:tcPr>
          <w:p w14:paraId="12C65262" w14:textId="528BD036" w:rsidR="008B7CE3" w:rsidRPr="004E166D" w:rsidRDefault="004E166D" w:rsidP="008B7CE3">
            <w:pPr>
              <w:jc w:val="both"/>
              <w:rPr>
                <w:lang w:val="hr-HR"/>
              </w:rPr>
            </w:pPr>
            <w:r>
              <w:rPr>
                <w:lang w:val="hr-HR"/>
              </w:rPr>
              <w:t>O</w:t>
            </w:r>
            <w:r w:rsidR="008B7CE3" w:rsidRPr="004E166D">
              <w:rPr>
                <w:lang w:val="hr-HR"/>
              </w:rPr>
              <w:t xml:space="preserve">bzirom na današnju dinamiku pripreme i objave znanstvenih radova smatramo nerealno visokim zahtjevom da se u projektima čija temeljna svrha nije znanstvena postavlja minimalna vrijednost od 6 objavljenih znanstvenih članaka tijekom 2 do 3 godine trajanja projekta. Recenzentski postupci u znanstvenim časopisima traju u prosjeku nekoliko mjeseci, dočim se na konačnu objavu prihvaćenih radova često čeka i više od godine dana. Stoga zahtjev da se u roku od 2 (najviše 3) godine definiraju i oblikuju istraživanja, provedu istraživanja, analiziraju podaci, pripreme radovi te objavi 6 znanstvenih članaka smatramo neutemeljenim i praktički neprovedivim te </w:t>
            </w:r>
            <w:r w:rsidR="006B1557">
              <w:rPr>
                <w:lang w:val="hr-HR"/>
              </w:rPr>
              <w:t>predlažemo</w:t>
            </w:r>
            <w:r w:rsidR="008B7CE3" w:rsidRPr="004E166D">
              <w:rPr>
                <w:lang w:val="hr-HR"/>
              </w:rPr>
              <w:t xml:space="preserve"> smanjenje broja objavljenih znanstvenih i/ili stručnih radova tijekom trajanja projekta na 3. </w:t>
            </w:r>
          </w:p>
          <w:p w14:paraId="7A66E5D8" w14:textId="77777777" w:rsidR="00CD1C7F" w:rsidRDefault="00CD1C7F" w:rsidP="00252B7B">
            <w:pPr>
              <w:jc w:val="both"/>
              <w:rPr>
                <w:lang w:val="hr-HR"/>
              </w:rPr>
            </w:pPr>
          </w:p>
        </w:tc>
        <w:tc>
          <w:tcPr>
            <w:tcW w:w="6521" w:type="dxa"/>
          </w:tcPr>
          <w:p w14:paraId="63BBFFB6" w14:textId="25EA3C21" w:rsidR="00F822C5" w:rsidRPr="00F822C5" w:rsidRDefault="006B1557" w:rsidP="00F822C5">
            <w:pPr>
              <w:jc w:val="both"/>
              <w:rPr>
                <w:lang w:val="hr-HR"/>
              </w:rPr>
            </w:pPr>
            <w:r w:rsidRPr="006B1557">
              <w:rPr>
                <w:lang w:val="hr-HR"/>
              </w:rPr>
              <w:t>Smanjena je minimalna vrijednost od 6 objavljenih znanstvenih članaka tijekom 2 do 3 godine s</w:t>
            </w:r>
            <w:r>
              <w:rPr>
                <w:lang w:val="hr-HR"/>
              </w:rPr>
              <w:t>a</w:t>
            </w:r>
            <w:r w:rsidRPr="006B1557">
              <w:rPr>
                <w:lang w:val="hr-HR"/>
              </w:rPr>
              <w:t xml:space="preserve"> 6 na 4. U tom smislu dodano je i pojašnjenje da se uzima u obzir objava znanstvenih članka kako u hrvatskim, tako i u međunarodnim časopisima. Također, ukoliko za vrijeme trajanja projekta rad nije objavljen nego je prihvaćen za objavu prijavitelj je dužan dostaviti PT-u 2 (Nacionalnoj zakladi</w:t>
            </w:r>
            <w:r>
              <w:rPr>
                <w:lang w:val="hr-HR"/>
              </w:rPr>
              <w:t xml:space="preserve"> za razvoj civilnoga društva</w:t>
            </w:r>
            <w:r w:rsidRPr="006B1557">
              <w:rPr>
                <w:lang w:val="hr-HR"/>
              </w:rPr>
              <w:t>) presliku članka, a PT2 može zatražiti uvid u objavu rada (i nakon završetka provedbe projekta) i  ukoliko se utvrdi odstupanje PT2 može zatražiti povrat sredstava (i nakon završetka provedbe projekta).</w:t>
            </w:r>
            <w:r w:rsidR="00765513">
              <w:rPr>
                <w:lang w:val="hr-HR"/>
              </w:rPr>
              <w:t xml:space="preserve"> </w:t>
            </w:r>
            <w:r w:rsidR="00084A8E">
              <w:rPr>
                <w:lang w:val="hr-HR"/>
              </w:rPr>
              <w:t>Također</w:t>
            </w:r>
            <w:r w:rsidR="00765513">
              <w:rPr>
                <w:lang w:val="hr-HR"/>
              </w:rPr>
              <w:t xml:space="preserve">, </w:t>
            </w:r>
            <w:r w:rsidR="00F822C5" w:rsidRPr="00F822C5">
              <w:rPr>
                <w:lang w:val="hr-HR"/>
              </w:rPr>
              <w:t xml:space="preserve">PT2 može i nakon završetka provedbe projekta, ukoliko je potrebno, za specifične (obvezne) pokazatelje Poziva </w:t>
            </w:r>
            <w:r w:rsidR="00F822C5" w:rsidRPr="00F822C5">
              <w:rPr>
                <w:i/>
                <w:lang w:val="hr-HR"/>
              </w:rPr>
              <w:t>Broj objavljenih znanstvenih članaka</w:t>
            </w:r>
            <w:r w:rsidR="00F822C5" w:rsidRPr="00F822C5">
              <w:rPr>
                <w:lang w:val="hr-HR"/>
              </w:rPr>
              <w:t xml:space="preserve"> i </w:t>
            </w:r>
            <w:r w:rsidR="00F822C5" w:rsidRPr="00F822C5">
              <w:rPr>
                <w:i/>
                <w:lang w:val="hr-HR"/>
              </w:rPr>
              <w:t xml:space="preserve">Broj objavljenih stručnih članaka, </w:t>
            </w:r>
            <w:r w:rsidR="00F822C5" w:rsidRPr="00F822C5">
              <w:rPr>
                <w:lang w:val="hr-HR"/>
              </w:rPr>
              <w:t xml:space="preserve"> čiji su prihvatljivi troškovi izrade nastali za vrijeme provedbe projekta,</w:t>
            </w:r>
            <w:r w:rsidR="00F822C5" w:rsidRPr="00F822C5">
              <w:rPr>
                <w:i/>
                <w:lang w:val="hr-HR"/>
              </w:rPr>
              <w:t xml:space="preserve"> </w:t>
            </w:r>
            <w:r w:rsidR="00F822C5" w:rsidRPr="00F822C5">
              <w:rPr>
                <w:lang w:val="hr-HR"/>
              </w:rPr>
              <w:t>angažirati vanjskog stručnjaka s ciljem utvrđivanja ispunjenja istih, sukladno razdoblju prihvatljivosti izdataka utvrđenih člankom 2.4. te sukladno korekcijama iz članka 8. Posebnih uvjeta Ugovora (Prilog 2).</w:t>
            </w:r>
          </w:p>
          <w:p w14:paraId="2D751884" w14:textId="26B8646D" w:rsidR="008A3D94" w:rsidRPr="006B1557" w:rsidRDefault="008A3D94" w:rsidP="00F822C5">
            <w:pPr>
              <w:jc w:val="both"/>
              <w:rPr>
                <w:lang w:val="hr-HR"/>
              </w:rPr>
            </w:pPr>
          </w:p>
        </w:tc>
      </w:tr>
      <w:tr w:rsidR="0089478E" w:rsidRPr="00485B59" w14:paraId="7EB811B2" w14:textId="77777777" w:rsidTr="008D0113">
        <w:tc>
          <w:tcPr>
            <w:tcW w:w="568" w:type="dxa"/>
          </w:tcPr>
          <w:p w14:paraId="56BF3302" w14:textId="57F3F123" w:rsidR="0089478E" w:rsidRPr="00533173" w:rsidRDefault="008B7CE3" w:rsidP="00533173">
            <w:pPr>
              <w:jc w:val="center"/>
              <w:rPr>
                <w:lang w:val="hr-HR"/>
              </w:rPr>
            </w:pPr>
            <w:r>
              <w:rPr>
                <w:lang w:val="hr-HR"/>
              </w:rPr>
              <w:t>3</w:t>
            </w:r>
            <w:r w:rsidR="00533173">
              <w:rPr>
                <w:lang w:val="hr-HR"/>
              </w:rPr>
              <w:t>.</w:t>
            </w:r>
          </w:p>
        </w:tc>
        <w:tc>
          <w:tcPr>
            <w:tcW w:w="6237" w:type="dxa"/>
          </w:tcPr>
          <w:p w14:paraId="184CDEC9" w14:textId="77777777" w:rsidR="00CD1C7F" w:rsidRDefault="00520900" w:rsidP="00CD1C7F">
            <w:pPr>
              <w:jc w:val="both"/>
              <w:rPr>
                <w:lang w:val="hr-HR"/>
              </w:rPr>
            </w:pPr>
            <w:r w:rsidRPr="00520900">
              <w:rPr>
                <w:lang w:val="hr-HR"/>
              </w:rPr>
              <w:t xml:space="preserve">Nije jasna razlika između </w:t>
            </w:r>
            <w:r>
              <w:rPr>
                <w:lang w:val="hr-HR"/>
              </w:rPr>
              <w:t>pokazatelja pod red. br. 4 i red. br</w:t>
            </w:r>
            <w:r w:rsidR="00530EAE">
              <w:rPr>
                <w:lang w:val="hr-HR"/>
              </w:rPr>
              <w:t>.</w:t>
            </w:r>
            <w:r w:rsidRPr="00520900">
              <w:rPr>
                <w:lang w:val="hr-HR"/>
              </w:rPr>
              <w:t xml:space="preserve"> 10. Molimo pojašnjenje.</w:t>
            </w:r>
          </w:p>
          <w:p w14:paraId="34A9AFDB" w14:textId="5D6A167B" w:rsidR="004411C6" w:rsidRPr="00520900" w:rsidRDefault="004411C6" w:rsidP="00CD1C7F">
            <w:pPr>
              <w:jc w:val="both"/>
              <w:rPr>
                <w:lang w:val="hr-HR"/>
              </w:rPr>
            </w:pPr>
          </w:p>
        </w:tc>
        <w:tc>
          <w:tcPr>
            <w:tcW w:w="6521" w:type="dxa"/>
          </w:tcPr>
          <w:p w14:paraId="449762DA" w14:textId="3D8B5EA2" w:rsidR="00C20469" w:rsidRPr="00530EAE" w:rsidRDefault="00530EAE" w:rsidP="00252B7B">
            <w:pPr>
              <w:jc w:val="both"/>
              <w:rPr>
                <w:lang w:val="hr-HR"/>
              </w:rPr>
            </w:pPr>
            <w:r w:rsidRPr="00530EAE">
              <w:rPr>
                <w:lang w:val="hr-HR"/>
              </w:rPr>
              <w:lastRenderedPageBreak/>
              <w:t>Isto je uređeno izmjenom natječajne dokumentacije.</w:t>
            </w:r>
          </w:p>
        </w:tc>
      </w:tr>
      <w:tr w:rsidR="00B466B4" w:rsidRPr="00485B59" w14:paraId="4DD77EB9" w14:textId="77777777" w:rsidTr="008D0113">
        <w:tc>
          <w:tcPr>
            <w:tcW w:w="568" w:type="dxa"/>
          </w:tcPr>
          <w:p w14:paraId="768BC4F5" w14:textId="1885F592" w:rsidR="00B466B4" w:rsidRPr="00533173" w:rsidRDefault="008B7CE3" w:rsidP="00533173">
            <w:pPr>
              <w:jc w:val="center"/>
              <w:rPr>
                <w:lang w:val="hr-HR"/>
              </w:rPr>
            </w:pPr>
            <w:r>
              <w:rPr>
                <w:lang w:val="hr-HR"/>
              </w:rPr>
              <w:lastRenderedPageBreak/>
              <w:t>4</w:t>
            </w:r>
            <w:r w:rsidR="00533173">
              <w:rPr>
                <w:lang w:val="hr-HR"/>
              </w:rPr>
              <w:t>.</w:t>
            </w:r>
          </w:p>
        </w:tc>
        <w:tc>
          <w:tcPr>
            <w:tcW w:w="6237" w:type="dxa"/>
          </w:tcPr>
          <w:p w14:paraId="53C95D59" w14:textId="5D73A1AC" w:rsidR="003119F3" w:rsidRPr="00012191" w:rsidRDefault="001718C2" w:rsidP="003119F3">
            <w:pPr>
              <w:jc w:val="both"/>
              <w:rPr>
                <w:lang w:val="hr-HR"/>
              </w:rPr>
            </w:pPr>
            <w:r w:rsidRPr="00012191">
              <w:rPr>
                <w:lang w:val="hr-HR"/>
              </w:rPr>
              <w:t>U točki 2.2.2</w:t>
            </w:r>
            <w:r w:rsidR="003119F3" w:rsidRPr="00012191">
              <w:rPr>
                <w:lang w:val="hr-HR"/>
              </w:rPr>
              <w:t xml:space="preserve"> Prihvatljivi partneri</w:t>
            </w:r>
            <w:r w:rsidRPr="00012191">
              <w:rPr>
                <w:lang w:val="hr-HR"/>
              </w:rPr>
              <w:t>, pod Komponentom 1 se navodi: „</w:t>
            </w:r>
            <w:r w:rsidR="003119F3" w:rsidRPr="00012191">
              <w:rPr>
                <w:lang w:val="hr-HR"/>
              </w:rPr>
              <w:t>Moraju zadovoljavati i sljedeće uvjete: ... 2. biti organizacija koja u svojem temeljnom aktu ima utvrđeno neprofitno djelovanje i registrirana je kao neprofitna organizacija što znači da je upisana u Registar neprofitnih organizacija i vodi trans</w:t>
            </w:r>
            <w:r w:rsidR="00012191">
              <w:rPr>
                <w:lang w:val="hr-HR"/>
              </w:rPr>
              <w:t xml:space="preserve">parentno financijsko poslovanje“. Obzirom da je </w:t>
            </w:r>
            <w:r w:rsidR="00164A99">
              <w:rPr>
                <w:lang w:val="hr-HR"/>
              </w:rPr>
              <w:t>obavezan</w:t>
            </w:r>
            <w:r w:rsidR="003119F3" w:rsidRPr="00012191">
              <w:rPr>
                <w:lang w:val="hr-HR"/>
              </w:rPr>
              <w:t xml:space="preserve"> partner znanstvena organizacija</w:t>
            </w:r>
            <w:r w:rsidR="00012191">
              <w:rPr>
                <w:lang w:val="hr-HR"/>
              </w:rPr>
              <w:t>,</w:t>
            </w:r>
            <w:r w:rsidR="003119F3" w:rsidRPr="00012191">
              <w:rPr>
                <w:lang w:val="hr-HR"/>
              </w:rPr>
              <w:t xml:space="preserve"> molimo pojašnjenje </w:t>
            </w:r>
            <w:r w:rsidR="00012191">
              <w:rPr>
                <w:lang w:val="hr-HR"/>
              </w:rPr>
              <w:t>odnosi</w:t>
            </w:r>
            <w:r w:rsidR="003119F3" w:rsidRPr="00012191">
              <w:rPr>
                <w:lang w:val="hr-HR"/>
              </w:rPr>
              <w:t xml:space="preserve"> li se uvjet upisa u Registar neprofitnih organizacija i v</w:t>
            </w:r>
            <w:r w:rsidR="00012191">
              <w:rPr>
                <w:lang w:val="hr-HR"/>
              </w:rPr>
              <w:t>ođenje računovodstva u skladu s</w:t>
            </w:r>
            <w:r w:rsidR="003119F3" w:rsidRPr="00012191">
              <w:rPr>
                <w:lang w:val="hr-HR"/>
              </w:rPr>
              <w:t xml:space="preserve"> računovodstvom neprofitnih organizacija i na znanstvene organizacije kao partnere u projektu</w:t>
            </w:r>
            <w:r w:rsidR="00012191">
              <w:rPr>
                <w:lang w:val="hr-HR"/>
              </w:rPr>
              <w:t>? Naime, n</w:t>
            </w:r>
            <w:r w:rsidR="003119F3" w:rsidRPr="00012191">
              <w:rPr>
                <w:lang w:val="hr-HR"/>
              </w:rPr>
              <w:t>ajveći</w:t>
            </w:r>
            <w:r w:rsidR="00012191">
              <w:rPr>
                <w:lang w:val="hr-HR"/>
              </w:rPr>
              <w:t xml:space="preserve"> je</w:t>
            </w:r>
            <w:r w:rsidR="003119F3" w:rsidRPr="00012191">
              <w:rPr>
                <w:lang w:val="hr-HR"/>
              </w:rPr>
              <w:t xml:space="preserve"> broj znanstve</w:t>
            </w:r>
            <w:r w:rsidR="00012191">
              <w:rPr>
                <w:lang w:val="hr-HR"/>
              </w:rPr>
              <w:t xml:space="preserve">nih organizacija u Hrvatskoj </w:t>
            </w:r>
            <w:r w:rsidR="003119F3" w:rsidRPr="00012191">
              <w:rPr>
                <w:lang w:val="hr-HR"/>
              </w:rPr>
              <w:t>registriran kao javna ustanova i ne ispunjava ovako propisan uvjet.</w:t>
            </w:r>
          </w:p>
          <w:p w14:paraId="5D601AC2" w14:textId="77777777" w:rsidR="00CD1C7F" w:rsidRPr="001220B8" w:rsidRDefault="00CD1C7F" w:rsidP="00B466B4">
            <w:pPr>
              <w:jc w:val="both"/>
              <w:rPr>
                <w:lang w:val="hr-HR"/>
              </w:rPr>
            </w:pPr>
          </w:p>
        </w:tc>
        <w:tc>
          <w:tcPr>
            <w:tcW w:w="6521" w:type="dxa"/>
          </w:tcPr>
          <w:p w14:paraId="5CE810C0" w14:textId="778F58A5" w:rsidR="0018113D" w:rsidRDefault="00A50F35" w:rsidP="00A50F35">
            <w:pPr>
              <w:pStyle w:val="Bezproreda"/>
              <w:jc w:val="both"/>
            </w:pPr>
            <w:r w:rsidRPr="00A50F35">
              <w:t>Uvjet upisa u Registar neprofitnih organizacija i v</w:t>
            </w:r>
            <w:r>
              <w:t>ođenje računovodstva u skladu s</w:t>
            </w:r>
            <w:r w:rsidRPr="00A50F35">
              <w:t xml:space="preserve"> računovodstvom neprofitnih organizacija </w:t>
            </w:r>
            <w:r w:rsidRPr="004D5C73">
              <w:rPr>
                <w:u w:val="single"/>
              </w:rPr>
              <w:t>ne odnosi se</w:t>
            </w:r>
            <w:r w:rsidRPr="00A50F35">
              <w:t xml:space="preserve"> na znanstvene organizacije kao partnere u projektu.</w:t>
            </w:r>
            <w:r>
              <w:t xml:space="preserve"> </w:t>
            </w:r>
            <w:r w:rsidRPr="00A50F35">
              <w:t>U tom smislu izmijenjene su i Upute za prijavitelje u kojima je za znanstvene organizacije kao uvjet (između ostalih part</w:t>
            </w:r>
            <w:r w:rsidR="00164A99">
              <w:t>nera)</w:t>
            </w:r>
            <w:r w:rsidR="003921D4">
              <w:t xml:space="preserve"> sada jasno istaknuto da </w:t>
            </w:r>
            <w:r w:rsidRPr="00A50F35">
              <w:t>moraju voditi transparentno financijsko poslovanje</w:t>
            </w:r>
            <w:r>
              <w:t>,</w:t>
            </w:r>
            <w:r w:rsidRPr="00A50F35">
              <w:t xml:space="preserve"> </w:t>
            </w:r>
            <w:r>
              <w:t>odnosno</w:t>
            </w:r>
            <w:r w:rsidRPr="00A50F35">
              <w:t xml:space="preserve"> predati godišnji financijski izvještaj</w:t>
            </w:r>
            <w:r>
              <w:t>,</w:t>
            </w:r>
            <w:r w:rsidRPr="00A50F35">
              <w:t xml:space="preserve"> o čemu moraju imati potvrdu Financijske agencije.</w:t>
            </w:r>
          </w:p>
        </w:tc>
      </w:tr>
      <w:tr w:rsidR="00641058" w:rsidRPr="00485B59" w14:paraId="30FAD578" w14:textId="77777777" w:rsidTr="008D0113">
        <w:tc>
          <w:tcPr>
            <w:tcW w:w="568" w:type="dxa"/>
          </w:tcPr>
          <w:p w14:paraId="580A2A96" w14:textId="21DC32D7" w:rsidR="00641058" w:rsidRPr="00533173" w:rsidRDefault="00641058" w:rsidP="00533173">
            <w:pPr>
              <w:jc w:val="center"/>
              <w:rPr>
                <w:lang w:val="hr-HR"/>
              </w:rPr>
            </w:pPr>
            <w:r>
              <w:rPr>
                <w:lang w:val="hr-HR"/>
              </w:rPr>
              <w:t>5.</w:t>
            </w:r>
          </w:p>
        </w:tc>
        <w:tc>
          <w:tcPr>
            <w:tcW w:w="6237" w:type="dxa"/>
          </w:tcPr>
          <w:p w14:paraId="4261E1F7" w14:textId="1BDE2C46" w:rsidR="00DA77A5" w:rsidRPr="00DA77A5" w:rsidRDefault="00DA77A5" w:rsidP="00DA77A5">
            <w:pPr>
              <w:jc w:val="both"/>
              <w:rPr>
                <w:lang w:val="hr-HR"/>
              </w:rPr>
            </w:pPr>
            <w:r w:rsidRPr="00DA77A5">
              <w:rPr>
                <w:lang w:val="hr-HR"/>
              </w:rPr>
              <w:t>U Uputama za</w:t>
            </w:r>
            <w:r>
              <w:rPr>
                <w:lang w:val="hr-HR"/>
              </w:rPr>
              <w:t xml:space="preserve"> prijavitelje </w:t>
            </w:r>
            <w:r w:rsidRPr="00DA77A5">
              <w:rPr>
                <w:lang w:val="hr-HR"/>
              </w:rPr>
              <w:t xml:space="preserve">spominju se Centri znanja za društveni razvoj koji su do sada imali podršku Nacionalne zaklade i ostvarivali su nacionalno financiranje. </w:t>
            </w:r>
          </w:p>
          <w:p w14:paraId="40269F84" w14:textId="77777777" w:rsidR="00DA77A5" w:rsidRPr="00DA77A5" w:rsidRDefault="00DA77A5" w:rsidP="00DA77A5">
            <w:pPr>
              <w:jc w:val="both"/>
              <w:rPr>
                <w:sz w:val="10"/>
                <w:szCs w:val="10"/>
                <w:lang w:val="hr-HR"/>
              </w:rPr>
            </w:pPr>
          </w:p>
          <w:p w14:paraId="57B2FDD5" w14:textId="78C408EC" w:rsidR="00DA77A5" w:rsidRPr="00DA77A5" w:rsidRDefault="00DA77A5" w:rsidP="00DA77A5">
            <w:pPr>
              <w:jc w:val="both"/>
              <w:rPr>
                <w:lang w:val="hr-HR"/>
              </w:rPr>
            </w:pPr>
            <w:r w:rsidRPr="00DA77A5">
              <w:rPr>
                <w:lang w:val="hr-HR"/>
              </w:rPr>
              <w:t>Na str. 10 Uputa za prijavitelje navodi se: </w:t>
            </w:r>
            <w:r>
              <w:rPr>
                <w:lang w:val="hr-HR"/>
              </w:rPr>
              <w:t>„</w:t>
            </w:r>
            <w:r w:rsidRPr="00DA77A5">
              <w:rPr>
                <w:lang w:val="hr-HR"/>
              </w:rPr>
              <w:t>Polazeći od dosadašnjih razvojnih programa Nacionalne zaklade koji su obuhvaćali cijeli niz različitih područja ulaganja u društveni i ekonomski razvoj kroz djelovanje organizacija civilnoga društva i drugih dionika u lokalnim zajednicama i društvu predlažemo ustrojavanje 24 tematska područja za ovu Operaciju kojom će se omogućiti </w:t>
            </w:r>
            <w:r w:rsidRPr="00DA77A5">
              <w:rPr>
                <w:bCs/>
                <w:lang w:val="hr-HR"/>
              </w:rPr>
              <w:t xml:space="preserve">nastavak i produbljivanje dosadašnjih financijskih podrški iz nacionalnih izvora </w:t>
            </w:r>
            <w:r w:rsidR="00D675E3">
              <w:rPr>
                <w:lang w:val="hr-HR"/>
              </w:rPr>
              <w:t>kako bi se organizirano civilno društvo i ostali</w:t>
            </w:r>
            <w:r w:rsidRPr="00DA77A5">
              <w:rPr>
                <w:lang w:val="hr-HR"/>
              </w:rPr>
              <w:t xml:space="preserve"> socijalni partneri </w:t>
            </w:r>
            <w:proofErr w:type="spellStart"/>
            <w:r w:rsidRPr="00DA77A5">
              <w:rPr>
                <w:lang w:val="hr-HR"/>
              </w:rPr>
              <w:t>sustavnije</w:t>
            </w:r>
            <w:proofErr w:type="spellEnd"/>
            <w:r w:rsidRPr="00DA77A5">
              <w:rPr>
                <w:lang w:val="hr-HR"/>
              </w:rPr>
              <w:t xml:space="preserve"> uključili u društveni i ekonomsk</w:t>
            </w:r>
            <w:r>
              <w:rPr>
                <w:lang w:val="hr-HR"/>
              </w:rPr>
              <w:t>i razvoj u Republici Hrvatskoj“.</w:t>
            </w:r>
          </w:p>
          <w:p w14:paraId="08C0C440" w14:textId="77777777" w:rsidR="00DA77A5" w:rsidRPr="00DA77A5" w:rsidRDefault="00DA77A5" w:rsidP="00DA77A5">
            <w:pPr>
              <w:jc w:val="both"/>
              <w:rPr>
                <w:sz w:val="10"/>
                <w:szCs w:val="10"/>
                <w:lang w:val="hr-HR"/>
              </w:rPr>
            </w:pPr>
          </w:p>
          <w:p w14:paraId="2E624AB3" w14:textId="39337233" w:rsidR="00DA77A5" w:rsidRPr="00D675E3" w:rsidRDefault="00DA77A5" w:rsidP="00DA77A5">
            <w:pPr>
              <w:jc w:val="both"/>
              <w:rPr>
                <w:lang w:val="hr-HR"/>
              </w:rPr>
            </w:pPr>
            <w:r w:rsidRPr="00D675E3">
              <w:rPr>
                <w:lang w:val="hr-HR"/>
              </w:rPr>
              <w:t>Znači li to da će postojeći ustrojeni Centri znanja imati svo</w:t>
            </w:r>
            <w:r w:rsidR="00D675E3">
              <w:rPr>
                <w:lang w:val="hr-HR"/>
              </w:rPr>
              <w:t>jevrsnu prednost u okviru ovog P</w:t>
            </w:r>
            <w:r w:rsidRPr="00D675E3">
              <w:rPr>
                <w:lang w:val="hr-HR"/>
              </w:rPr>
              <w:t xml:space="preserve">oziva?  Mogu li se prijavljivati projektne </w:t>
            </w:r>
            <w:r w:rsidR="00D675E3">
              <w:rPr>
                <w:lang w:val="hr-HR"/>
              </w:rPr>
              <w:t>prijave s</w:t>
            </w:r>
            <w:r w:rsidRPr="00D675E3">
              <w:rPr>
                <w:lang w:val="hr-HR"/>
              </w:rPr>
              <w:t xml:space="preserve"> dionicima koji  do s</w:t>
            </w:r>
            <w:r w:rsidR="00D675E3">
              <w:rPr>
                <w:lang w:val="hr-HR"/>
              </w:rPr>
              <w:t>ada nisu ostvarivali suradnju s</w:t>
            </w:r>
            <w:r w:rsidRPr="00D675E3">
              <w:rPr>
                <w:lang w:val="hr-HR"/>
              </w:rPr>
              <w:t xml:space="preserve"> Nacionalnom zakladom za razvoj civilnog društva</w:t>
            </w:r>
            <w:r w:rsidR="00D675E3">
              <w:rPr>
                <w:lang w:val="hr-HR"/>
              </w:rPr>
              <w:t>,</w:t>
            </w:r>
            <w:r w:rsidRPr="00D675E3">
              <w:rPr>
                <w:lang w:val="hr-HR"/>
              </w:rPr>
              <w:t xml:space="preserve"> </w:t>
            </w:r>
            <w:r w:rsidR="00D675E3">
              <w:rPr>
                <w:lang w:val="hr-HR"/>
              </w:rPr>
              <w:t>odnosno</w:t>
            </w:r>
            <w:r w:rsidRPr="00D675E3">
              <w:rPr>
                <w:lang w:val="hr-HR"/>
              </w:rPr>
              <w:t xml:space="preserve"> koji do sada nisu bili ini</w:t>
            </w:r>
            <w:r w:rsidR="00832693">
              <w:rPr>
                <w:lang w:val="hr-HR"/>
              </w:rPr>
              <w:t>cijatori/</w:t>
            </w:r>
            <w:r w:rsidRPr="00D675E3">
              <w:rPr>
                <w:lang w:val="hr-HR"/>
              </w:rPr>
              <w:t xml:space="preserve">članovi postojećih Centara znanja? Kao </w:t>
            </w:r>
            <w:r w:rsidRPr="00D675E3">
              <w:rPr>
                <w:lang w:val="hr-HR"/>
              </w:rPr>
              <w:lastRenderedPageBreak/>
              <w:t>takvi, imaju li manju prednost u postupku evaluacije projekta? </w:t>
            </w:r>
          </w:p>
          <w:p w14:paraId="19109044" w14:textId="77777777" w:rsidR="00641058" w:rsidRDefault="00641058" w:rsidP="00007D50">
            <w:pPr>
              <w:jc w:val="both"/>
            </w:pPr>
          </w:p>
        </w:tc>
        <w:tc>
          <w:tcPr>
            <w:tcW w:w="6521" w:type="dxa"/>
          </w:tcPr>
          <w:p w14:paraId="2B7B3707" w14:textId="1D415E48" w:rsidR="00641058" w:rsidRPr="000901B7" w:rsidRDefault="000901B7" w:rsidP="00181588">
            <w:pPr>
              <w:jc w:val="both"/>
              <w:rPr>
                <w:rFonts w:ascii="Calibri" w:eastAsia="Calibri" w:hAnsi="Calibri" w:cs="Calibri"/>
                <w:bdr w:val="nil"/>
                <w:lang w:val="hr-HR" w:eastAsia="hr-HR"/>
              </w:rPr>
            </w:pPr>
            <w:r w:rsidRPr="000901B7">
              <w:rPr>
                <w:rFonts w:ascii="Calibri" w:eastAsia="Calibri" w:hAnsi="Calibri" w:cs="Calibri"/>
                <w:bdr w:val="nil"/>
                <w:lang w:val="hr-HR" w:eastAsia="hr-HR"/>
              </w:rPr>
              <w:lastRenderedPageBreak/>
              <w:t>Uputama za prijavitelje u točci 2.2.1 Prihvatljivi prijavitelji i točci 2.2.2 Prihvatljivi partneri točno je izrijekom popisano i taksativno navedeno tko sve može biti prijavitelj</w:t>
            </w:r>
            <w:r>
              <w:rPr>
                <w:rFonts w:ascii="Calibri" w:eastAsia="Calibri" w:hAnsi="Calibri" w:cs="Calibri"/>
                <w:bdr w:val="nil"/>
                <w:lang w:val="hr-HR" w:eastAsia="hr-HR"/>
              </w:rPr>
              <w:t>,</w:t>
            </w:r>
            <w:r w:rsidRPr="000901B7">
              <w:rPr>
                <w:rFonts w:ascii="Calibri" w:eastAsia="Calibri" w:hAnsi="Calibri" w:cs="Calibri"/>
                <w:bdr w:val="nil"/>
                <w:lang w:val="hr-HR" w:eastAsia="hr-HR"/>
              </w:rPr>
              <w:t xml:space="preserve"> odnosno partner na predmetnom Pozivu.</w:t>
            </w:r>
            <w:r>
              <w:rPr>
                <w:rFonts w:ascii="Calibri" w:eastAsia="Calibri" w:hAnsi="Calibri" w:cs="Calibri"/>
                <w:bdr w:val="nil"/>
                <w:lang w:val="hr-HR" w:eastAsia="hr-HR"/>
              </w:rPr>
              <w:t xml:space="preserve"> </w:t>
            </w:r>
            <w:r w:rsidRPr="000901B7">
              <w:rPr>
                <w:rFonts w:cs="Arial"/>
                <w:lang w:val="hr-HR"/>
              </w:rPr>
              <w:t>Slijedom navedenog, provjera prihvatljivosti prijavitelja i partnera, kao i procjena projekta i projektnih aktivnosti</w:t>
            </w:r>
            <w:r>
              <w:rPr>
                <w:rFonts w:cs="Arial"/>
                <w:lang w:val="hr-HR"/>
              </w:rPr>
              <w:t>,</w:t>
            </w:r>
            <w:r w:rsidRPr="000901B7">
              <w:rPr>
                <w:rFonts w:cs="Arial"/>
                <w:lang w:val="hr-HR"/>
              </w:rPr>
              <w:t xml:space="preserve"> provodit će se sukladno Uputama za prijavitelje i to uzimajući u obzir dokumentaciju dostavljenu od strane Prijavitelja. U tom smislu, svaka prijava će se ocjenjivati zasebno i nepristrano i uz poštivanje načela jednakog postupanja, te prilikom provjere i ocjenjivanja projektnih prijava niti jedan projektni prijedlog neće imati prednost</w:t>
            </w:r>
            <w:r w:rsidRPr="000901B7">
              <w:rPr>
                <w:lang w:val="hr-HR"/>
              </w:rPr>
              <w:t xml:space="preserve"> s obzirom na oblik pravne osobnosti ili oblik ustroja organizacije prijavitelja i/ili partnera, jer navedeno nije predviđeno Uputama za prijavitelje.</w:t>
            </w:r>
          </w:p>
        </w:tc>
      </w:tr>
      <w:tr w:rsidR="000901B7" w:rsidRPr="00485B59" w14:paraId="019B54E6" w14:textId="77777777" w:rsidTr="008D0113">
        <w:tc>
          <w:tcPr>
            <w:tcW w:w="568" w:type="dxa"/>
          </w:tcPr>
          <w:p w14:paraId="0D7B0190" w14:textId="3F149FF8" w:rsidR="000901B7" w:rsidRDefault="000901B7" w:rsidP="00533173">
            <w:pPr>
              <w:jc w:val="center"/>
              <w:rPr>
                <w:lang w:val="hr-HR"/>
              </w:rPr>
            </w:pPr>
            <w:r>
              <w:rPr>
                <w:lang w:val="hr-HR"/>
              </w:rPr>
              <w:lastRenderedPageBreak/>
              <w:t>6.</w:t>
            </w:r>
          </w:p>
        </w:tc>
        <w:tc>
          <w:tcPr>
            <w:tcW w:w="6237" w:type="dxa"/>
          </w:tcPr>
          <w:p w14:paraId="645041AD" w14:textId="6D5DBB54" w:rsidR="000901B7" w:rsidRDefault="000D793E" w:rsidP="00DF0204">
            <w:pPr>
              <w:jc w:val="both"/>
              <w:rPr>
                <w:lang w:val="hr-HR"/>
              </w:rPr>
            </w:pPr>
            <w:r>
              <w:rPr>
                <w:lang w:val="hr-HR"/>
              </w:rPr>
              <w:t>Ob</w:t>
            </w:r>
            <w:r w:rsidR="00164A99">
              <w:rPr>
                <w:lang w:val="hr-HR"/>
              </w:rPr>
              <w:t>a</w:t>
            </w:r>
            <w:r>
              <w:rPr>
                <w:lang w:val="hr-HR"/>
              </w:rPr>
              <w:t>vezan pokazatelj za Komponentu 1</w:t>
            </w:r>
            <w:r w:rsidR="00B0757D">
              <w:rPr>
                <w:lang w:val="hr-HR"/>
              </w:rPr>
              <w:t>,</w:t>
            </w:r>
            <w:r w:rsidR="00DF0204">
              <w:rPr>
                <w:lang w:val="hr-HR"/>
              </w:rPr>
              <w:t xml:space="preserve"> </w:t>
            </w:r>
            <w:r>
              <w:rPr>
                <w:lang w:val="hr-HR"/>
              </w:rPr>
              <w:t>SO408</w:t>
            </w:r>
            <w:r w:rsidR="00DF0204">
              <w:rPr>
                <w:lang w:val="hr-HR"/>
              </w:rPr>
              <w:t xml:space="preserve"> „Broj (lokalnih) organizacija civilnoga društva“, Opis pokazatelja „Broj (lokalnih) organizacija civilnoga društva koje sudjeluju u aktivnostima izgradnje kapaciteta relevantnih za svoje područje rada“</w:t>
            </w:r>
            <w:r w:rsidR="00832693">
              <w:rPr>
                <w:lang w:val="hr-HR"/>
              </w:rPr>
              <w:t>;</w:t>
            </w:r>
            <w:r w:rsidR="005150ED">
              <w:rPr>
                <w:lang w:val="hr-HR"/>
              </w:rPr>
              <w:t xml:space="preserve"> </w:t>
            </w:r>
            <w:r w:rsidR="00832693">
              <w:rPr>
                <w:lang w:val="hr-HR"/>
              </w:rPr>
              <w:t>v</w:t>
            </w:r>
            <w:r w:rsidR="00DF0204" w:rsidRPr="00DF0204">
              <w:rPr>
                <w:lang w:val="hr-HR"/>
              </w:rPr>
              <w:t>ezano za navedeno molimo pojašnjenje što stavljanje u zagradu riječi</w:t>
            </w:r>
            <w:r w:rsidR="005150ED">
              <w:rPr>
                <w:lang w:val="hr-HR"/>
              </w:rPr>
              <w:t xml:space="preserve"> „</w:t>
            </w:r>
            <w:r w:rsidR="00DF0204" w:rsidRPr="00DF0204">
              <w:rPr>
                <w:lang w:val="hr-HR"/>
              </w:rPr>
              <w:t>lokalni</w:t>
            </w:r>
            <w:r w:rsidR="005150ED">
              <w:rPr>
                <w:lang w:val="hr-HR"/>
              </w:rPr>
              <w:t>“ znači?</w:t>
            </w:r>
            <w:r w:rsidR="00DF0204" w:rsidRPr="00DF0204">
              <w:rPr>
                <w:lang w:val="hr-HR"/>
              </w:rPr>
              <w:t xml:space="preserve"> </w:t>
            </w:r>
            <w:r w:rsidR="005150ED">
              <w:rPr>
                <w:lang w:val="hr-HR"/>
              </w:rPr>
              <w:t>Z</w:t>
            </w:r>
            <w:r w:rsidR="00DF0204" w:rsidRPr="00DF0204">
              <w:rPr>
                <w:lang w:val="hr-HR"/>
              </w:rPr>
              <w:t>nači li to da se preferira uključivanje lokalni</w:t>
            </w:r>
            <w:r w:rsidR="005150ED">
              <w:rPr>
                <w:lang w:val="hr-HR"/>
              </w:rPr>
              <w:t>h organizacija civilnog</w:t>
            </w:r>
            <w:r w:rsidR="00D1021A">
              <w:rPr>
                <w:lang w:val="hr-HR"/>
              </w:rPr>
              <w:t>a</w:t>
            </w:r>
            <w:r w:rsidR="005150ED">
              <w:rPr>
                <w:lang w:val="hr-HR"/>
              </w:rPr>
              <w:t xml:space="preserve"> društva?</w:t>
            </w:r>
            <w:r w:rsidR="00DF0204" w:rsidRPr="00DF0204">
              <w:rPr>
                <w:lang w:val="hr-HR"/>
              </w:rPr>
              <w:t xml:space="preserve"> </w:t>
            </w:r>
            <w:r w:rsidR="005150ED">
              <w:rPr>
                <w:lang w:val="hr-HR"/>
              </w:rPr>
              <w:t>Misli li se</w:t>
            </w:r>
            <w:r w:rsidR="00DF0204" w:rsidRPr="00DF0204">
              <w:rPr>
                <w:lang w:val="hr-HR"/>
              </w:rPr>
              <w:t xml:space="preserve"> na uključivanje organizacija civilnog društva s područja koje imaju niži indeks razvijenosti</w:t>
            </w:r>
            <w:r w:rsidR="005150ED">
              <w:rPr>
                <w:lang w:val="hr-HR"/>
              </w:rPr>
              <w:t>? P</w:t>
            </w:r>
            <w:r w:rsidR="00DF0204" w:rsidRPr="00DF0204">
              <w:rPr>
                <w:lang w:val="hr-HR"/>
              </w:rPr>
              <w:t>referira li se na taj način nacionalna pokrivenost tematske mreže</w:t>
            </w:r>
            <w:r w:rsidR="005150ED">
              <w:rPr>
                <w:lang w:val="hr-HR"/>
              </w:rPr>
              <w:t>?</w:t>
            </w:r>
          </w:p>
          <w:p w14:paraId="42F7BB1E" w14:textId="3BE892B0" w:rsidR="005150ED" w:rsidRPr="00DA77A5" w:rsidRDefault="005150ED" w:rsidP="00DF0204">
            <w:pPr>
              <w:jc w:val="both"/>
              <w:rPr>
                <w:lang w:val="hr-HR"/>
              </w:rPr>
            </w:pPr>
          </w:p>
        </w:tc>
        <w:tc>
          <w:tcPr>
            <w:tcW w:w="6521" w:type="dxa"/>
          </w:tcPr>
          <w:p w14:paraId="34D24484" w14:textId="3FE87862" w:rsidR="000901B7" w:rsidRPr="00B0757D" w:rsidRDefault="00B0757D" w:rsidP="00181588">
            <w:pPr>
              <w:jc w:val="both"/>
              <w:rPr>
                <w:rFonts w:ascii="Calibri" w:eastAsia="Calibri" w:hAnsi="Calibri" w:cs="Calibri"/>
                <w:bdr w:val="nil"/>
                <w:lang w:val="hr-HR" w:eastAsia="hr-HR"/>
              </w:rPr>
            </w:pPr>
            <w:r>
              <w:rPr>
                <w:lang w:val="hr-HR"/>
              </w:rPr>
              <w:t>Ob</w:t>
            </w:r>
            <w:r w:rsidR="00164A99">
              <w:rPr>
                <w:lang w:val="hr-HR"/>
              </w:rPr>
              <w:t>a</w:t>
            </w:r>
            <w:r>
              <w:rPr>
                <w:lang w:val="hr-HR"/>
              </w:rPr>
              <w:t>vezan pokazatelj za K</w:t>
            </w:r>
            <w:r w:rsidRPr="00B0757D">
              <w:rPr>
                <w:lang w:val="hr-HR"/>
              </w:rPr>
              <w:t>omponentu 1</w:t>
            </w:r>
            <w:r>
              <w:rPr>
                <w:lang w:val="hr-HR"/>
              </w:rPr>
              <w:t>,</w:t>
            </w:r>
            <w:r w:rsidRPr="00B0757D">
              <w:rPr>
                <w:lang w:val="hr-HR"/>
              </w:rPr>
              <w:t xml:space="preserve"> SO408 </w:t>
            </w:r>
            <w:r>
              <w:rPr>
                <w:lang w:val="hr-HR"/>
              </w:rPr>
              <w:t>„</w:t>
            </w:r>
            <w:r w:rsidRPr="00B0757D">
              <w:rPr>
                <w:lang w:val="hr-HR"/>
              </w:rPr>
              <w:t>Broj (lokalnih) organizacija civilnoga društva koje sudjeluju u aktivnostima izgradnje kapaciteta relevantnih za svoje područje rada</w:t>
            </w:r>
            <w:r>
              <w:rPr>
                <w:lang w:val="hr-HR"/>
              </w:rPr>
              <w:t>“</w:t>
            </w:r>
            <w:r w:rsidR="00832693">
              <w:rPr>
                <w:lang w:val="hr-HR"/>
              </w:rPr>
              <w:t>,</w:t>
            </w:r>
            <w:r w:rsidRPr="00B0757D">
              <w:rPr>
                <w:lang w:val="hr-HR"/>
              </w:rPr>
              <w:t xml:space="preserve"> odnosi se na prijavitelje i partnere i broj lokalnih organizacija civilnog društva udruženih u tematsku mrežu, a sukladno točci 1.5 Uputa za prijavitelje.</w:t>
            </w:r>
          </w:p>
        </w:tc>
      </w:tr>
      <w:tr w:rsidR="00B0757D" w:rsidRPr="00485B59" w14:paraId="36C3408A" w14:textId="77777777" w:rsidTr="008D0113">
        <w:tc>
          <w:tcPr>
            <w:tcW w:w="568" w:type="dxa"/>
          </w:tcPr>
          <w:p w14:paraId="7F090B2D" w14:textId="40068E9A" w:rsidR="00B0757D" w:rsidRDefault="000D793E" w:rsidP="00533173">
            <w:pPr>
              <w:jc w:val="center"/>
              <w:rPr>
                <w:lang w:val="hr-HR"/>
              </w:rPr>
            </w:pPr>
            <w:r>
              <w:rPr>
                <w:lang w:val="hr-HR"/>
              </w:rPr>
              <w:t>7.</w:t>
            </w:r>
          </w:p>
        </w:tc>
        <w:tc>
          <w:tcPr>
            <w:tcW w:w="6237" w:type="dxa"/>
          </w:tcPr>
          <w:p w14:paraId="7A689C7B" w14:textId="1AF473EC" w:rsidR="005B382B" w:rsidRPr="005B382B" w:rsidRDefault="005B382B" w:rsidP="005B382B">
            <w:pPr>
              <w:jc w:val="both"/>
              <w:rPr>
                <w:lang w:val="hr-HR"/>
              </w:rPr>
            </w:pPr>
            <w:r>
              <w:rPr>
                <w:lang w:val="hr-HR"/>
              </w:rPr>
              <w:t xml:space="preserve">Kod </w:t>
            </w:r>
            <w:r w:rsidRPr="005B382B">
              <w:rPr>
                <w:lang w:val="hr-HR"/>
              </w:rPr>
              <w:t>Kriterij</w:t>
            </w:r>
            <w:r>
              <w:rPr>
                <w:lang w:val="hr-HR"/>
              </w:rPr>
              <w:t>a</w:t>
            </w:r>
            <w:r w:rsidRPr="005B382B">
              <w:rPr>
                <w:lang w:val="hr-HR"/>
              </w:rPr>
              <w:t xml:space="preserve"> odabira i pit</w:t>
            </w:r>
            <w:r>
              <w:rPr>
                <w:lang w:val="hr-HR"/>
              </w:rPr>
              <w:t>anja za kvalitativnu procjenu „</w:t>
            </w:r>
            <w:r w:rsidRPr="005B382B">
              <w:rPr>
                <w:lang w:val="hr-HR"/>
              </w:rPr>
              <w:t>Sadrži li prijedlog inovativni pristup (i primjenu najboljih praksi EU-a u odgovarajućem području, ako je primjenjivo) u rješavanju pr</w:t>
            </w:r>
            <w:r>
              <w:rPr>
                <w:lang w:val="hr-HR"/>
              </w:rPr>
              <w:t>oblema ciljane skupine projekta/</w:t>
            </w:r>
            <w:r w:rsidR="009A6C11">
              <w:rPr>
                <w:lang w:val="hr-HR"/>
              </w:rPr>
              <w:t>krajnjih korisnika/</w:t>
            </w:r>
            <w:r w:rsidRPr="005B382B">
              <w:rPr>
                <w:lang w:val="hr-HR"/>
              </w:rPr>
              <w:t>zemljopisnog područja?</w:t>
            </w:r>
            <w:r>
              <w:rPr>
                <w:lang w:val="hr-HR"/>
              </w:rPr>
              <w:t>“</w:t>
            </w:r>
            <w:r w:rsidR="009A6C11">
              <w:rPr>
                <w:lang w:val="hr-HR"/>
              </w:rPr>
              <w:t xml:space="preserve"> </w:t>
            </w:r>
            <w:r w:rsidRPr="005B382B">
              <w:rPr>
                <w:lang w:val="hr-HR"/>
              </w:rPr>
              <w:t xml:space="preserve">molimo pojašnjenje </w:t>
            </w:r>
            <w:r w:rsidR="009A6C11">
              <w:rPr>
                <w:lang w:val="hr-HR"/>
              </w:rPr>
              <w:t>obzirom da</w:t>
            </w:r>
            <w:r w:rsidRPr="005B382B">
              <w:rPr>
                <w:lang w:val="hr-HR"/>
              </w:rPr>
              <w:t xml:space="preserve"> su  cilj</w:t>
            </w:r>
            <w:r w:rsidR="009A6C11">
              <w:rPr>
                <w:lang w:val="hr-HR"/>
              </w:rPr>
              <w:t>ana skupina u Komponenti 1 OCD-ovi,</w:t>
            </w:r>
            <w:r w:rsidRPr="005B382B">
              <w:rPr>
                <w:lang w:val="hr-HR"/>
              </w:rPr>
              <w:t xml:space="preserve"> socijalni partneri, javne znanstvene </w:t>
            </w:r>
            <w:r w:rsidR="009A6C11">
              <w:rPr>
                <w:lang w:val="hr-HR"/>
              </w:rPr>
              <w:t>organizacije, javne ustanove, itd.</w:t>
            </w:r>
            <w:r w:rsidR="00666C9C">
              <w:rPr>
                <w:lang w:val="hr-HR"/>
              </w:rPr>
              <w:t xml:space="preserve"> T</w:t>
            </w:r>
            <w:r w:rsidRPr="005B382B">
              <w:rPr>
                <w:lang w:val="hr-HR"/>
              </w:rPr>
              <w:t>ematsko područje kojim se pojedino partnerstvo na razini projekta (tematska mreža) bavi može biti drugačije u odnosu na problem cilj</w:t>
            </w:r>
            <w:r w:rsidR="009A6C11">
              <w:rPr>
                <w:lang w:val="hr-HR"/>
              </w:rPr>
              <w:t>a</w:t>
            </w:r>
            <w:r w:rsidRPr="005B382B">
              <w:rPr>
                <w:lang w:val="hr-HR"/>
              </w:rPr>
              <w:t>ne skupine projekta, a Uputama je definirano da su to predstavnici dionika na razini partnerstva u projektu. Molimo pojašnjenje ovog kriterija odabira u tom smislu. Ako prijavljujemo projekt u tematskom području: START – UP nacija – samozapošljavanje i poduzetništvo, cilj</w:t>
            </w:r>
            <w:r w:rsidR="00666C9C">
              <w:rPr>
                <w:lang w:val="hr-HR"/>
              </w:rPr>
              <w:t>a</w:t>
            </w:r>
            <w:r w:rsidRPr="005B382B">
              <w:rPr>
                <w:lang w:val="hr-HR"/>
              </w:rPr>
              <w:t xml:space="preserve">na skupina su predstavnici institucija i OCD-a na razini partnerstva, a krajnji korisnici su poduzetnici. </w:t>
            </w:r>
            <w:r w:rsidR="009A6C11">
              <w:rPr>
                <w:lang w:val="hr-HR"/>
              </w:rPr>
              <w:t>Kako tumačiti kriterij „inovativnosti“</w:t>
            </w:r>
            <w:r w:rsidRPr="005B382B">
              <w:rPr>
                <w:lang w:val="hr-HR"/>
              </w:rPr>
              <w:t xml:space="preserve">? </w:t>
            </w:r>
          </w:p>
          <w:p w14:paraId="18FEC51F" w14:textId="77777777" w:rsidR="00B0757D" w:rsidRDefault="00B0757D" w:rsidP="00DF0204">
            <w:pPr>
              <w:jc w:val="both"/>
              <w:rPr>
                <w:lang w:val="hr-HR"/>
              </w:rPr>
            </w:pPr>
          </w:p>
        </w:tc>
        <w:tc>
          <w:tcPr>
            <w:tcW w:w="6521" w:type="dxa"/>
          </w:tcPr>
          <w:p w14:paraId="00DCEED6" w14:textId="67024E25" w:rsidR="00B0757D" w:rsidRPr="00B470A5" w:rsidRDefault="00B470A5" w:rsidP="00181588">
            <w:pPr>
              <w:jc w:val="both"/>
              <w:rPr>
                <w:lang w:val="hr-HR"/>
              </w:rPr>
            </w:pPr>
            <w:r w:rsidRPr="00B470A5">
              <w:rPr>
                <w:lang w:val="hr-HR"/>
              </w:rPr>
              <w:t>Navedenim kriterijem odabira provjerava se inovativnost u planu izvedbe projekta (odnosi se na svaki element u obliku ishoda (proizvoda ili usluge) i/ili procesa/metode i/ili organizacijske/strukturne promjene, koji su bitno različiti u odnosu na</w:t>
            </w:r>
            <w:r>
              <w:rPr>
                <w:lang w:val="hr-HR"/>
              </w:rPr>
              <w:t xml:space="preserve"> prethodne i postojeće elemente</w:t>
            </w:r>
            <w:r w:rsidRPr="00B470A5">
              <w:rPr>
                <w:lang w:val="hr-HR"/>
              </w:rPr>
              <w:t>/prakse u relevantnom području).</w:t>
            </w:r>
          </w:p>
        </w:tc>
      </w:tr>
      <w:tr w:rsidR="006E3175" w:rsidRPr="00485B59" w14:paraId="63FEBAD3" w14:textId="77777777" w:rsidTr="008D0113">
        <w:tc>
          <w:tcPr>
            <w:tcW w:w="568" w:type="dxa"/>
          </w:tcPr>
          <w:p w14:paraId="278EC9B3" w14:textId="3E520FD0" w:rsidR="006E3175" w:rsidRDefault="006E3175" w:rsidP="00533173">
            <w:pPr>
              <w:jc w:val="center"/>
              <w:rPr>
                <w:lang w:val="hr-HR"/>
              </w:rPr>
            </w:pPr>
            <w:r>
              <w:rPr>
                <w:lang w:val="hr-HR"/>
              </w:rPr>
              <w:t>8.</w:t>
            </w:r>
          </w:p>
        </w:tc>
        <w:tc>
          <w:tcPr>
            <w:tcW w:w="6237" w:type="dxa"/>
          </w:tcPr>
          <w:p w14:paraId="1B237986" w14:textId="675695C4" w:rsidR="0033340F" w:rsidRPr="0033340F" w:rsidRDefault="0033340F" w:rsidP="0033340F">
            <w:pPr>
              <w:jc w:val="both"/>
              <w:rPr>
                <w:lang w:val="hr-HR"/>
              </w:rPr>
            </w:pPr>
            <w:r w:rsidRPr="0033340F">
              <w:rPr>
                <w:lang w:val="hr-HR"/>
              </w:rPr>
              <w:t xml:space="preserve">Postoji li </w:t>
            </w:r>
            <w:r>
              <w:rPr>
                <w:lang w:val="hr-HR"/>
              </w:rPr>
              <w:t>ne</w:t>
            </w:r>
            <w:r w:rsidRPr="0033340F">
              <w:rPr>
                <w:lang w:val="hr-HR"/>
              </w:rPr>
              <w:t>kakva platforma za oglašavanje partnerstva za</w:t>
            </w:r>
            <w:r>
              <w:rPr>
                <w:lang w:val="hr-HR"/>
              </w:rPr>
              <w:t xml:space="preserve"> ovaj Poziv?</w:t>
            </w:r>
          </w:p>
          <w:p w14:paraId="2BDC9E3D" w14:textId="77777777" w:rsidR="006E3175" w:rsidRDefault="006E3175" w:rsidP="005B382B">
            <w:pPr>
              <w:jc w:val="both"/>
              <w:rPr>
                <w:lang w:val="hr-HR"/>
              </w:rPr>
            </w:pPr>
          </w:p>
        </w:tc>
        <w:tc>
          <w:tcPr>
            <w:tcW w:w="6521" w:type="dxa"/>
          </w:tcPr>
          <w:p w14:paraId="49AF4534" w14:textId="7AFC0574" w:rsidR="006E3175" w:rsidRPr="0033340F" w:rsidRDefault="0033340F" w:rsidP="00181588">
            <w:pPr>
              <w:jc w:val="both"/>
              <w:rPr>
                <w:lang w:val="hr-HR"/>
              </w:rPr>
            </w:pPr>
            <w:r w:rsidRPr="0033340F">
              <w:rPr>
                <w:lang w:val="hr-HR"/>
              </w:rPr>
              <w:t>Ista nije predviđena predmetnim Uputama za prijavitelje.</w:t>
            </w:r>
          </w:p>
        </w:tc>
      </w:tr>
      <w:tr w:rsidR="0033340F" w:rsidRPr="00485B59" w14:paraId="3676C7F3" w14:textId="77777777" w:rsidTr="008D0113">
        <w:tc>
          <w:tcPr>
            <w:tcW w:w="568" w:type="dxa"/>
          </w:tcPr>
          <w:p w14:paraId="140D9D4A" w14:textId="2D51D765" w:rsidR="0033340F" w:rsidRDefault="001C52CA" w:rsidP="00533173">
            <w:pPr>
              <w:jc w:val="center"/>
              <w:rPr>
                <w:lang w:val="hr-HR"/>
              </w:rPr>
            </w:pPr>
            <w:r>
              <w:rPr>
                <w:lang w:val="hr-HR"/>
              </w:rPr>
              <w:lastRenderedPageBreak/>
              <w:t>9.</w:t>
            </w:r>
          </w:p>
        </w:tc>
        <w:tc>
          <w:tcPr>
            <w:tcW w:w="6237" w:type="dxa"/>
          </w:tcPr>
          <w:p w14:paraId="6957ED82" w14:textId="37C10027" w:rsidR="0033340F" w:rsidRPr="001C52CA" w:rsidRDefault="001C52CA" w:rsidP="0033340F">
            <w:pPr>
              <w:jc w:val="both"/>
              <w:rPr>
                <w:lang w:val="hr-HR"/>
              </w:rPr>
            </w:pPr>
            <w:r w:rsidRPr="001C52CA">
              <w:rPr>
                <w:lang w:val="hr-HR"/>
              </w:rPr>
              <w:t>Koji je datum održavanja informativne radionice u Zagrebu?</w:t>
            </w:r>
          </w:p>
        </w:tc>
        <w:tc>
          <w:tcPr>
            <w:tcW w:w="6521" w:type="dxa"/>
          </w:tcPr>
          <w:p w14:paraId="6D3F74F5" w14:textId="37443073" w:rsidR="0033340F" w:rsidRPr="0033340F" w:rsidRDefault="001C52CA" w:rsidP="001C6DEF">
            <w:pPr>
              <w:pStyle w:val="ESFBodysivo"/>
              <w:spacing w:line="240" w:lineRule="auto"/>
            </w:pPr>
            <w:r w:rsidRPr="00AA77B2">
              <w:rPr>
                <w:color w:val="00000A"/>
                <w:sz w:val="22"/>
                <w:szCs w:val="22"/>
                <w:u w:color="00000A"/>
              </w:rPr>
              <w:t>Sukladno</w:t>
            </w:r>
            <w:r w:rsidR="001C6DEF">
              <w:rPr>
                <w:color w:val="00000A"/>
                <w:sz w:val="22"/>
                <w:szCs w:val="22"/>
                <w:u w:color="00000A"/>
              </w:rPr>
              <w:t xml:space="preserve"> Uputama za prijavitelje, točka</w:t>
            </w:r>
            <w:r w:rsidR="00C916C3">
              <w:rPr>
                <w:color w:val="00000A"/>
                <w:sz w:val="22"/>
                <w:szCs w:val="22"/>
                <w:u w:color="00000A"/>
              </w:rPr>
              <w:t xml:space="preserve"> 5.8 Dodatne informacije, </w:t>
            </w:r>
            <w:r w:rsidRPr="00AA77B2">
              <w:rPr>
                <w:color w:val="00000A"/>
                <w:sz w:val="22"/>
                <w:szCs w:val="22"/>
                <w:u w:color="00000A"/>
              </w:rPr>
              <w:t xml:space="preserve">informativne radionice za zainteresirane prijavitelje bit će organizirane najkasnije 21 kalendarski dan prije isteka roka za podnošenje projektnih prijava. Informacije o točnom datumu i mjestu održavanja radionica bit će objavljene na mrežnim stranicama na </w:t>
            </w:r>
            <w:r w:rsidRPr="00C916C3">
              <w:rPr>
                <w:color w:val="00000A"/>
                <w:sz w:val="22"/>
                <w:szCs w:val="22"/>
                <w:u w:val="single" w:color="00000A"/>
              </w:rPr>
              <w:t>www.strukturnifondovi.hr</w:t>
            </w:r>
            <w:r w:rsidRPr="00AA77B2">
              <w:rPr>
                <w:color w:val="00000A"/>
                <w:sz w:val="22"/>
                <w:szCs w:val="22"/>
                <w:u w:color="00000A"/>
              </w:rPr>
              <w:t xml:space="preserve"> i </w:t>
            </w:r>
            <w:hyperlink r:id="rId9" w:history="1">
              <w:r w:rsidR="007A7E56" w:rsidRPr="00F11DE8">
                <w:rPr>
                  <w:rStyle w:val="Hiperveza"/>
                  <w:color w:val="auto"/>
                  <w:sz w:val="22"/>
                  <w:szCs w:val="22"/>
                  <w:u w:color="00000A"/>
                </w:rPr>
                <w:t>www.esf.hr</w:t>
              </w:r>
            </w:hyperlink>
            <w:r w:rsidRPr="00F11DE8">
              <w:rPr>
                <w:color w:val="auto"/>
                <w:sz w:val="22"/>
                <w:szCs w:val="22"/>
                <w:u w:color="00000A"/>
              </w:rPr>
              <w:t xml:space="preserve">. </w:t>
            </w:r>
          </w:p>
        </w:tc>
      </w:tr>
      <w:tr w:rsidR="007A7E56" w:rsidRPr="00485B59" w14:paraId="29691477" w14:textId="77777777" w:rsidTr="008D0113">
        <w:tc>
          <w:tcPr>
            <w:tcW w:w="568" w:type="dxa"/>
          </w:tcPr>
          <w:p w14:paraId="2459DF77" w14:textId="3F42E7E8" w:rsidR="007A7E56" w:rsidRDefault="007A7E56" w:rsidP="00533173">
            <w:pPr>
              <w:jc w:val="center"/>
              <w:rPr>
                <w:lang w:val="hr-HR"/>
              </w:rPr>
            </w:pPr>
            <w:r>
              <w:rPr>
                <w:lang w:val="hr-HR"/>
              </w:rPr>
              <w:t>10.</w:t>
            </w:r>
          </w:p>
        </w:tc>
        <w:tc>
          <w:tcPr>
            <w:tcW w:w="6237" w:type="dxa"/>
          </w:tcPr>
          <w:p w14:paraId="669F5AC2" w14:textId="0CDC26BE" w:rsidR="007A7E56" w:rsidRDefault="00376FE1" w:rsidP="0033340F">
            <w:pPr>
              <w:jc w:val="both"/>
              <w:rPr>
                <w:lang w:val="hr-HR"/>
              </w:rPr>
            </w:pPr>
            <w:r w:rsidRPr="00376FE1">
              <w:rPr>
                <w:lang w:val="hr-HR"/>
              </w:rPr>
              <w:t xml:space="preserve">Vezano za </w:t>
            </w:r>
            <w:r>
              <w:rPr>
                <w:lang w:val="hr-HR"/>
              </w:rPr>
              <w:t xml:space="preserve">prihvatljive aktivnosti, Komponenta 1, </w:t>
            </w:r>
            <w:r w:rsidRPr="00376FE1">
              <w:rPr>
                <w:lang w:val="hr-HR"/>
              </w:rPr>
              <w:t>Element 3</w:t>
            </w:r>
            <w:r>
              <w:rPr>
                <w:lang w:val="hr-HR"/>
              </w:rPr>
              <w:t xml:space="preserve">. Provedba ispitivanja javnog mnijenja i ispitivanje potreba društva, </w:t>
            </w:r>
            <w:r w:rsidRPr="00376FE1">
              <w:rPr>
                <w:lang w:val="hr-HR"/>
              </w:rPr>
              <w:t>molim</w:t>
            </w:r>
            <w:r w:rsidR="006717F2">
              <w:rPr>
                <w:lang w:val="hr-HR"/>
              </w:rPr>
              <w:t>o</w:t>
            </w:r>
            <w:r w:rsidRPr="00376FE1">
              <w:rPr>
                <w:lang w:val="hr-HR"/>
              </w:rPr>
              <w:t xml:space="preserve"> definirajte opseg ispitivanja javnog mnijenja i ispitivanja potreba društva. U Pokaz</w:t>
            </w:r>
            <w:r>
              <w:rPr>
                <w:lang w:val="hr-HR"/>
              </w:rPr>
              <w:t>ateljima za Komponentu 1</w:t>
            </w:r>
            <w:r w:rsidRPr="00376FE1">
              <w:rPr>
                <w:lang w:val="hr-HR"/>
              </w:rPr>
              <w:t xml:space="preserve"> definirana je minimalna vrijednost provedenih ispitivanja javnog mnijenja i potreba društva od 6. Koji je opseg ispitivanja javnog mnijenja i potreba društva da bi se ono definiralo kao 1? Je li prihvatljivo imati 6 istraživanja na istu temu na različitim geografskim područjima? Je li prihvatljivo imati anketno istraživanje na 3 teme, a fokus grupe na 3 iste teme - prihvaća li se to kao minimalna vr</w:t>
            </w:r>
            <w:r w:rsidR="00406DFE">
              <w:rPr>
                <w:lang w:val="hr-HR"/>
              </w:rPr>
              <w:t xml:space="preserve">ijednost od 6, </w:t>
            </w:r>
            <w:r w:rsidRPr="00376FE1">
              <w:rPr>
                <w:lang w:val="hr-HR"/>
              </w:rPr>
              <w:t>obzirom na to da su 2 metode i 3 teme pa je ukupno 6 ispitivanja?</w:t>
            </w:r>
          </w:p>
          <w:p w14:paraId="26DE9B25" w14:textId="7BAE3E77" w:rsidR="00376FE1" w:rsidRPr="00376FE1" w:rsidRDefault="00376FE1" w:rsidP="0033340F">
            <w:pPr>
              <w:jc w:val="both"/>
              <w:rPr>
                <w:lang w:val="hr-HR"/>
              </w:rPr>
            </w:pPr>
          </w:p>
        </w:tc>
        <w:tc>
          <w:tcPr>
            <w:tcW w:w="6521" w:type="dxa"/>
          </w:tcPr>
          <w:p w14:paraId="44F295C9" w14:textId="5FEE4EE0" w:rsidR="007A7E56" w:rsidRPr="00AA77B2" w:rsidRDefault="006717F2" w:rsidP="006717F2">
            <w:pPr>
              <w:pStyle w:val="ESFBodysivo"/>
              <w:spacing w:line="240" w:lineRule="auto"/>
              <w:rPr>
                <w:color w:val="00000A"/>
                <w:sz w:val="22"/>
                <w:szCs w:val="22"/>
                <w:u w:color="00000A"/>
              </w:rPr>
            </w:pPr>
            <w:r>
              <w:rPr>
                <w:color w:val="00000A"/>
                <w:sz w:val="22"/>
                <w:szCs w:val="22"/>
                <w:u w:color="00000A"/>
              </w:rPr>
              <w:t>Ispitivanje javnog mnijenja i potreba društva nužno je provesti na reprezentativnom uzorku. Istraživanja je prihvatljivo provesti na istu temu na različitim geografskim područjima, također potrebno ih je provoditi kroz trajanje projekta. Međutim, nije prihvatljivo da se jednom aktivnosti ostvaruju dva pokazatelja.</w:t>
            </w:r>
          </w:p>
        </w:tc>
      </w:tr>
      <w:tr w:rsidR="006717F2" w:rsidRPr="00485B59" w14:paraId="17C8D10D" w14:textId="77777777" w:rsidTr="008D0113">
        <w:tc>
          <w:tcPr>
            <w:tcW w:w="568" w:type="dxa"/>
          </w:tcPr>
          <w:p w14:paraId="15353F1F" w14:textId="0E08AEC6" w:rsidR="006717F2" w:rsidRDefault="006717F2" w:rsidP="00533173">
            <w:pPr>
              <w:jc w:val="center"/>
              <w:rPr>
                <w:lang w:val="hr-HR"/>
              </w:rPr>
            </w:pPr>
            <w:r>
              <w:rPr>
                <w:lang w:val="hr-HR"/>
              </w:rPr>
              <w:t>11.</w:t>
            </w:r>
          </w:p>
        </w:tc>
        <w:tc>
          <w:tcPr>
            <w:tcW w:w="6237" w:type="dxa"/>
          </w:tcPr>
          <w:p w14:paraId="54AF5CDB" w14:textId="77777777" w:rsidR="006717F2" w:rsidRDefault="006717F2" w:rsidP="006717F2">
            <w:pPr>
              <w:jc w:val="both"/>
              <w:rPr>
                <w:lang w:val="hr-HR"/>
              </w:rPr>
            </w:pPr>
            <w:r w:rsidRPr="006717F2">
              <w:rPr>
                <w:lang w:val="hr-HR"/>
              </w:rPr>
              <w:t>Vezano za</w:t>
            </w:r>
            <w:r>
              <w:rPr>
                <w:lang w:val="hr-HR"/>
              </w:rPr>
              <w:t xml:space="preserve"> prihvatljive aktivnosti, Komponenta 1, Element 4. Provedba znanstvenih istraživanja u području utvrđene potrebe društvene promjene, </w:t>
            </w:r>
            <w:r w:rsidRPr="006717F2">
              <w:rPr>
                <w:lang w:val="hr-HR"/>
              </w:rPr>
              <w:t>molim</w:t>
            </w:r>
            <w:r>
              <w:rPr>
                <w:lang w:val="hr-HR"/>
              </w:rPr>
              <w:t>o</w:t>
            </w:r>
            <w:r w:rsidRPr="006717F2">
              <w:rPr>
                <w:lang w:val="hr-HR"/>
              </w:rPr>
              <w:t xml:space="preserve"> definirajte opseg znanstvenog istraživanja. U Pokazateljima je navedeno da broj znanstvenih članaka unutar ovog Elementa treba biti 6. Molim</w:t>
            </w:r>
            <w:r>
              <w:rPr>
                <w:lang w:val="hr-HR"/>
              </w:rPr>
              <w:t>o</w:t>
            </w:r>
            <w:r w:rsidRPr="006717F2">
              <w:rPr>
                <w:lang w:val="hr-HR"/>
              </w:rPr>
              <w:t xml:space="preserve"> definirati što znači minimalno 6 znanstvenih članak</w:t>
            </w:r>
            <w:r>
              <w:rPr>
                <w:lang w:val="hr-HR"/>
              </w:rPr>
              <w:t>a. O</w:t>
            </w:r>
            <w:r w:rsidRPr="006717F2">
              <w:rPr>
                <w:lang w:val="hr-HR"/>
              </w:rPr>
              <w:t>bzirom na dugo vrijeme čekanja za reviziju znanstvenih članaka u hrvatskim časopisima, treba li se te članke objaviti u vrijeme trajanja projekta ili mogu biti samo prihvaćeni za objavu? Također računa li se i objava članaka u stranim časopisima?</w:t>
            </w:r>
          </w:p>
          <w:p w14:paraId="36C33BE3" w14:textId="23E2F3CA" w:rsidR="006717F2" w:rsidRPr="006717F2" w:rsidRDefault="006717F2" w:rsidP="006717F2">
            <w:pPr>
              <w:jc w:val="both"/>
              <w:rPr>
                <w:lang w:val="hr-HR"/>
              </w:rPr>
            </w:pPr>
          </w:p>
        </w:tc>
        <w:tc>
          <w:tcPr>
            <w:tcW w:w="6521" w:type="dxa"/>
          </w:tcPr>
          <w:p w14:paraId="7ADD5312" w14:textId="397BDD35" w:rsidR="006717F2" w:rsidRDefault="00F64225" w:rsidP="00FA200C">
            <w:pPr>
              <w:pStyle w:val="ESFBodysivo"/>
              <w:spacing w:line="240" w:lineRule="auto"/>
              <w:rPr>
                <w:color w:val="00000A"/>
                <w:sz w:val="22"/>
                <w:szCs w:val="22"/>
                <w:u w:color="00000A"/>
              </w:rPr>
            </w:pPr>
            <w:r>
              <w:rPr>
                <w:sz w:val="22"/>
              </w:rPr>
              <w:t>Minimalna</w:t>
            </w:r>
            <w:r w:rsidR="00C06916" w:rsidRPr="00C06916">
              <w:rPr>
                <w:sz w:val="22"/>
              </w:rPr>
              <w:t xml:space="preserve"> vrijednost od 6 objavljenih znanstvenih članaka tijekom 2 do 3 godine smanjena </w:t>
            </w:r>
            <w:r>
              <w:rPr>
                <w:sz w:val="22"/>
              </w:rPr>
              <w:t>je</w:t>
            </w:r>
            <w:r w:rsidR="00C06916">
              <w:rPr>
                <w:sz w:val="22"/>
              </w:rPr>
              <w:t xml:space="preserve"> sa</w:t>
            </w:r>
            <w:r w:rsidR="00C06916" w:rsidRPr="00C06916">
              <w:rPr>
                <w:sz w:val="22"/>
              </w:rPr>
              <w:t xml:space="preserve"> 6 na 4. U tom smislu uzima se u obzir objava znanstvenih članka kako u hrvatskim, tako i u međunarodnim časopisima. Također, ukoliko za vrijeme trajanja projekta rad nije objavljen</w:t>
            </w:r>
            <w:r w:rsidR="001E4FEC">
              <w:rPr>
                <w:sz w:val="22"/>
              </w:rPr>
              <w:t>,</w:t>
            </w:r>
            <w:r w:rsidR="00C06916" w:rsidRPr="00C06916">
              <w:rPr>
                <w:sz w:val="22"/>
              </w:rPr>
              <w:t xml:space="preserve"> nego je prihvaćen za objavu</w:t>
            </w:r>
            <w:r w:rsidR="001E4FEC">
              <w:rPr>
                <w:sz w:val="22"/>
              </w:rPr>
              <w:t>,</w:t>
            </w:r>
            <w:r w:rsidR="00C06916" w:rsidRPr="00C06916">
              <w:rPr>
                <w:sz w:val="22"/>
              </w:rPr>
              <w:t xml:space="preserve"> pri</w:t>
            </w:r>
            <w:r w:rsidR="001E4FEC">
              <w:rPr>
                <w:sz w:val="22"/>
              </w:rPr>
              <w:t>javitelj je dužan dostaviti PT</w:t>
            </w:r>
            <w:r w:rsidR="00C06916" w:rsidRPr="00C06916">
              <w:rPr>
                <w:sz w:val="22"/>
              </w:rPr>
              <w:t>2 presliku članka, a PT2 može zatražiti uvid u objavu rada (i nakon završetka provedbe projekta) i  ukoliko se utvrdi odstupanje PT2 može zatražiti povrat sredstava (i nakon završetka provedbe projekta).</w:t>
            </w:r>
            <w:r w:rsidR="00765513">
              <w:rPr>
                <w:sz w:val="22"/>
              </w:rPr>
              <w:t xml:space="preserve"> </w:t>
            </w:r>
            <w:r w:rsidR="00FA200C">
              <w:rPr>
                <w:sz w:val="22"/>
              </w:rPr>
              <w:t>Također</w:t>
            </w:r>
            <w:r w:rsidR="00765513">
              <w:rPr>
                <w:sz w:val="22"/>
              </w:rPr>
              <w:t xml:space="preserve">, </w:t>
            </w:r>
            <w:r w:rsidR="00765513" w:rsidRPr="00765513">
              <w:rPr>
                <w:sz w:val="22"/>
              </w:rPr>
              <w:t xml:space="preserve">PT2 može i nakon završetka provedbe projekta, ukoliko je potrebno, za specifične (obvezne) pokazatelje Poziva </w:t>
            </w:r>
            <w:r w:rsidR="00765513" w:rsidRPr="00765513">
              <w:rPr>
                <w:i/>
                <w:sz w:val="22"/>
              </w:rPr>
              <w:t>Broj objavljenih znanstvenih članaka</w:t>
            </w:r>
            <w:r w:rsidR="00765513" w:rsidRPr="00765513">
              <w:rPr>
                <w:sz w:val="22"/>
              </w:rPr>
              <w:t xml:space="preserve"> i </w:t>
            </w:r>
            <w:r w:rsidR="00765513" w:rsidRPr="00765513">
              <w:rPr>
                <w:i/>
                <w:sz w:val="22"/>
              </w:rPr>
              <w:t xml:space="preserve">Broj objavljenih stručnih članaka, </w:t>
            </w:r>
            <w:r w:rsidR="00765513" w:rsidRPr="00765513">
              <w:rPr>
                <w:sz w:val="22"/>
              </w:rPr>
              <w:t xml:space="preserve"> čiji su prihvatljivi troškovi izrade nastali za vrijeme provedbe projekta,</w:t>
            </w:r>
            <w:r w:rsidR="00765513" w:rsidRPr="00765513">
              <w:rPr>
                <w:i/>
                <w:sz w:val="22"/>
              </w:rPr>
              <w:t xml:space="preserve"> </w:t>
            </w:r>
            <w:r w:rsidR="00765513" w:rsidRPr="00765513">
              <w:rPr>
                <w:sz w:val="22"/>
              </w:rPr>
              <w:t xml:space="preserve">angažirati vanjskog stručnjaka s ciljem utvrđivanja ispunjenja istih, </w:t>
            </w:r>
            <w:r w:rsidR="00765513" w:rsidRPr="00765513">
              <w:rPr>
                <w:sz w:val="22"/>
              </w:rPr>
              <w:lastRenderedPageBreak/>
              <w:t>sukladno razdoblju prihvatljivosti izdataka utvrđenih člankom 2.4. te sukladno korekcijama iz članka 8. Posebnih uvjeta Ugovora (Prilog 2).</w:t>
            </w:r>
          </w:p>
        </w:tc>
      </w:tr>
      <w:tr w:rsidR="009A2829" w:rsidRPr="00485B59" w14:paraId="445AEFAE" w14:textId="77777777" w:rsidTr="008D0113">
        <w:tc>
          <w:tcPr>
            <w:tcW w:w="568" w:type="dxa"/>
          </w:tcPr>
          <w:p w14:paraId="3863D9B1" w14:textId="6FA9B0FD" w:rsidR="009A2829" w:rsidRDefault="009A2829" w:rsidP="00533173">
            <w:pPr>
              <w:jc w:val="center"/>
              <w:rPr>
                <w:lang w:val="hr-HR"/>
              </w:rPr>
            </w:pPr>
            <w:r>
              <w:rPr>
                <w:lang w:val="hr-HR"/>
              </w:rPr>
              <w:lastRenderedPageBreak/>
              <w:t>12.</w:t>
            </w:r>
          </w:p>
        </w:tc>
        <w:tc>
          <w:tcPr>
            <w:tcW w:w="6237" w:type="dxa"/>
          </w:tcPr>
          <w:p w14:paraId="67248038" w14:textId="5194CF3E" w:rsidR="009A2829" w:rsidRDefault="009A2829" w:rsidP="006717F2">
            <w:pPr>
              <w:jc w:val="both"/>
              <w:rPr>
                <w:lang w:val="hr-HR"/>
              </w:rPr>
            </w:pPr>
            <w:r w:rsidRPr="009A2829">
              <w:rPr>
                <w:lang w:val="hr-HR"/>
              </w:rPr>
              <w:t>Vezano za</w:t>
            </w:r>
            <w:r>
              <w:rPr>
                <w:lang w:val="hr-HR"/>
              </w:rPr>
              <w:t xml:space="preserve"> prihvatljive aktivnosti, Komponenta 1, Element 5. Izrada smjernica za razvoj javnih politika utemeljenih na dokazima, </w:t>
            </w:r>
            <w:r w:rsidRPr="009A2829">
              <w:rPr>
                <w:lang w:val="hr-HR"/>
              </w:rPr>
              <w:t>na koje se dokaze misli kod izrade smjernica za javne pol</w:t>
            </w:r>
            <w:r>
              <w:rPr>
                <w:lang w:val="hr-HR"/>
              </w:rPr>
              <w:t>itike  utemeljene na dokazima? O</w:t>
            </w:r>
            <w:r w:rsidRPr="009A2829">
              <w:rPr>
                <w:lang w:val="hr-HR"/>
              </w:rPr>
              <w:t xml:space="preserve">dnosi li se to na znanstvena istraživanja provedena u sklopu ovog </w:t>
            </w:r>
            <w:r w:rsidR="00D63A91">
              <w:rPr>
                <w:lang w:val="hr-HR"/>
              </w:rPr>
              <w:t>projekta ili mogu biti uključena</w:t>
            </w:r>
            <w:r w:rsidRPr="009A2829">
              <w:rPr>
                <w:lang w:val="hr-HR"/>
              </w:rPr>
              <w:t xml:space="preserve"> i druga istraživanja koja nisu nužno proizašla iz ovog projekta? </w:t>
            </w:r>
          </w:p>
          <w:p w14:paraId="5781460F" w14:textId="77777777" w:rsidR="0083577B" w:rsidRDefault="0083577B" w:rsidP="006717F2">
            <w:pPr>
              <w:jc w:val="both"/>
              <w:rPr>
                <w:lang w:val="hr-HR"/>
              </w:rPr>
            </w:pPr>
          </w:p>
          <w:p w14:paraId="2EA18829" w14:textId="54DF50D8" w:rsidR="005866E4" w:rsidRDefault="005866E4" w:rsidP="006717F2">
            <w:pPr>
              <w:jc w:val="both"/>
              <w:rPr>
                <w:lang w:val="hr-HR"/>
              </w:rPr>
            </w:pPr>
            <w:r>
              <w:rPr>
                <w:lang w:val="hr-HR"/>
              </w:rPr>
              <w:t xml:space="preserve">Također, </w:t>
            </w:r>
            <w:r w:rsidRPr="005866E4">
              <w:rPr>
                <w:lang w:val="hr-HR"/>
              </w:rPr>
              <w:t>molim</w:t>
            </w:r>
            <w:r w:rsidR="00D63A91">
              <w:rPr>
                <w:lang w:val="hr-HR"/>
              </w:rPr>
              <w:t>o</w:t>
            </w:r>
            <w:r w:rsidRPr="005866E4">
              <w:rPr>
                <w:lang w:val="hr-HR"/>
              </w:rPr>
              <w:t xml:space="preserve"> definirajte što točno znač</w:t>
            </w:r>
            <w:r w:rsidR="00366C04">
              <w:rPr>
                <w:lang w:val="hr-HR"/>
              </w:rPr>
              <w:t>i 6 smjernica? O</w:t>
            </w:r>
            <w:r w:rsidRPr="005866E4">
              <w:rPr>
                <w:lang w:val="hr-HR"/>
              </w:rPr>
              <w:t>dnosi li se to na 6 smjernica za istu temu ili za različita područja</w:t>
            </w:r>
            <w:r>
              <w:rPr>
                <w:lang w:val="hr-HR"/>
              </w:rPr>
              <w:t>?</w:t>
            </w:r>
          </w:p>
          <w:p w14:paraId="69A3301E" w14:textId="482C50CC" w:rsidR="009A2829" w:rsidRPr="009A2829" w:rsidRDefault="009A2829" w:rsidP="006717F2">
            <w:pPr>
              <w:jc w:val="both"/>
              <w:rPr>
                <w:lang w:val="hr-HR"/>
              </w:rPr>
            </w:pPr>
          </w:p>
        </w:tc>
        <w:tc>
          <w:tcPr>
            <w:tcW w:w="6521" w:type="dxa"/>
          </w:tcPr>
          <w:p w14:paraId="38139C10" w14:textId="541AC28B" w:rsidR="009A2829" w:rsidRPr="005866E4" w:rsidRDefault="00247FBC" w:rsidP="00C06916">
            <w:pPr>
              <w:pStyle w:val="ESFBodysivo"/>
              <w:spacing w:line="240" w:lineRule="auto"/>
              <w:rPr>
                <w:rStyle w:val="Bez"/>
                <w:bCs/>
                <w:sz w:val="22"/>
                <w:szCs w:val="22"/>
              </w:rPr>
            </w:pPr>
            <w:r>
              <w:rPr>
                <w:rFonts w:eastAsia="Droid Sans Fallback" w:cs="Times New Roman"/>
                <w:sz w:val="22"/>
                <w:szCs w:val="22"/>
              </w:rPr>
              <w:t>Uputama za prijavitelje, t</w:t>
            </w:r>
            <w:r w:rsidR="009A2829" w:rsidRPr="005866E4">
              <w:rPr>
                <w:rFonts w:eastAsia="Droid Sans Fallback" w:cs="Times New Roman"/>
                <w:sz w:val="22"/>
                <w:szCs w:val="22"/>
              </w:rPr>
              <w:t>očkom  1.5 Pokazatelji, propisan je Specifični pokazatelj br. 3 „Broj izrađenih smjernica za razvoj javnih politika utemeljenih na dokazima“</w:t>
            </w:r>
            <w:r w:rsidR="009A2829" w:rsidRPr="005866E4">
              <w:rPr>
                <w:rFonts w:eastAsia="Droid Sans Fallback" w:cs="Times New Roman"/>
                <w:i/>
                <w:sz w:val="22"/>
                <w:szCs w:val="22"/>
              </w:rPr>
              <w:t>.</w:t>
            </w:r>
            <w:r w:rsidR="00794E56" w:rsidRPr="005866E4">
              <w:rPr>
                <w:rFonts w:eastAsia="Droid Sans Fallback" w:cs="Times New Roman"/>
                <w:sz w:val="22"/>
                <w:szCs w:val="22"/>
              </w:rPr>
              <w:t xml:space="preserve"> O</w:t>
            </w:r>
            <w:r w:rsidR="009A2829" w:rsidRPr="005866E4">
              <w:rPr>
                <w:rFonts w:eastAsia="Droid Sans Fallback" w:cs="Times New Roman"/>
                <w:sz w:val="22"/>
                <w:szCs w:val="22"/>
              </w:rPr>
              <w:t>bzirom da je u opisu predmetnog pokazatelja navedeno da se ovdje radi o broju izrađenih smjernica za razvoj javnih politika utemeljenih na dokazima u minimalnoj vrijednosti od 6, a postizanje pokazatelja dokazuje se preslikama smjernica, smjernice moraju biti izrađene isključivo u sklopu</w:t>
            </w:r>
            <w:r w:rsidR="009A2829" w:rsidRPr="005866E4">
              <w:rPr>
                <w:sz w:val="22"/>
                <w:szCs w:val="22"/>
              </w:rPr>
              <w:t xml:space="preserve"> znanstvenih istraživanja provedenih u sklopu  projekta koji se prijavljuje. Isto je navedeno i u točci 3.3</w:t>
            </w:r>
            <w:r w:rsidR="00794E56" w:rsidRPr="005866E4">
              <w:rPr>
                <w:sz w:val="22"/>
                <w:szCs w:val="22"/>
              </w:rPr>
              <w:t xml:space="preserve"> Prihvatljive aktivnosti,</w:t>
            </w:r>
            <w:r w:rsidR="009A2829" w:rsidRPr="005866E4">
              <w:rPr>
                <w:sz w:val="22"/>
                <w:szCs w:val="22"/>
              </w:rPr>
              <w:t xml:space="preserve"> Uputa za prijavitelje</w:t>
            </w:r>
            <w:r w:rsidR="00794E56" w:rsidRPr="005866E4">
              <w:rPr>
                <w:sz w:val="22"/>
                <w:szCs w:val="22"/>
              </w:rPr>
              <w:t>,</w:t>
            </w:r>
            <w:r w:rsidR="009A2829" w:rsidRPr="005866E4">
              <w:rPr>
                <w:sz w:val="22"/>
                <w:szCs w:val="22"/>
              </w:rPr>
              <w:t xml:space="preserve"> u kojima je istaknuto ka</w:t>
            </w:r>
            <w:r w:rsidR="00794E56" w:rsidRPr="005866E4">
              <w:rPr>
                <w:sz w:val="22"/>
                <w:szCs w:val="22"/>
              </w:rPr>
              <w:t>k</w:t>
            </w:r>
            <w:r w:rsidR="009A2829" w:rsidRPr="005866E4">
              <w:rPr>
                <w:sz w:val="22"/>
                <w:szCs w:val="22"/>
              </w:rPr>
              <w:t>o element 5 podrazumijeva iz</w:t>
            </w:r>
            <w:r w:rsidR="009A2829" w:rsidRPr="005866E4">
              <w:rPr>
                <w:rStyle w:val="Bez"/>
                <w:bCs/>
                <w:sz w:val="22"/>
                <w:szCs w:val="22"/>
              </w:rPr>
              <w:t xml:space="preserve">radu </w:t>
            </w:r>
            <w:r w:rsidR="00794E56" w:rsidRPr="005866E4">
              <w:rPr>
                <w:rStyle w:val="Bez"/>
                <w:bCs/>
                <w:sz w:val="22"/>
                <w:szCs w:val="22"/>
              </w:rPr>
              <w:t>„</w:t>
            </w:r>
            <w:r w:rsidR="009A2829" w:rsidRPr="005866E4">
              <w:rPr>
                <w:rStyle w:val="Bez"/>
                <w:bCs/>
                <w:sz w:val="22"/>
                <w:szCs w:val="22"/>
              </w:rPr>
              <w:t xml:space="preserve">smjernica utemeljenih na </w:t>
            </w:r>
            <w:r w:rsidR="009A2829" w:rsidRPr="005866E4">
              <w:rPr>
                <w:rStyle w:val="Bez"/>
                <w:bCs/>
                <w:sz w:val="22"/>
                <w:szCs w:val="22"/>
                <w:u w:val="single"/>
              </w:rPr>
              <w:t>provedenim</w:t>
            </w:r>
            <w:r w:rsidR="009A2829" w:rsidRPr="005866E4">
              <w:rPr>
                <w:rStyle w:val="Bez"/>
                <w:bCs/>
                <w:sz w:val="22"/>
                <w:szCs w:val="22"/>
              </w:rPr>
              <w:t xml:space="preserve"> znanstvenim istraživanjima</w:t>
            </w:r>
            <w:r w:rsidR="00794E56" w:rsidRPr="005866E4">
              <w:rPr>
                <w:rStyle w:val="Bez"/>
                <w:bCs/>
                <w:sz w:val="22"/>
                <w:szCs w:val="22"/>
              </w:rPr>
              <w:t>“</w:t>
            </w:r>
            <w:r w:rsidR="009A2829" w:rsidRPr="005866E4">
              <w:rPr>
                <w:rStyle w:val="Bez"/>
                <w:bCs/>
                <w:sz w:val="22"/>
                <w:szCs w:val="22"/>
              </w:rPr>
              <w:t>, pri čemu se misli na istraživanja provedena u sklopu projekta.</w:t>
            </w:r>
          </w:p>
          <w:p w14:paraId="3479EBE1" w14:textId="281BC25A" w:rsidR="005866E4" w:rsidRPr="005866E4" w:rsidRDefault="005866E4" w:rsidP="00C06916">
            <w:pPr>
              <w:pStyle w:val="ESFBodysivo"/>
              <w:spacing w:line="240" w:lineRule="auto"/>
              <w:rPr>
                <w:sz w:val="22"/>
                <w:szCs w:val="22"/>
              </w:rPr>
            </w:pPr>
            <w:r>
              <w:rPr>
                <w:sz w:val="22"/>
                <w:szCs w:val="22"/>
              </w:rPr>
              <w:t>S</w:t>
            </w:r>
            <w:r w:rsidRPr="005866E4">
              <w:rPr>
                <w:sz w:val="22"/>
                <w:szCs w:val="22"/>
              </w:rPr>
              <w:t>mjernice za izradu javnih politika mogu pratiti provedena znanstvena istraživanja, ali isto nije ograničavajuće.</w:t>
            </w:r>
          </w:p>
        </w:tc>
      </w:tr>
      <w:tr w:rsidR="00794E56" w:rsidRPr="00485B59" w14:paraId="1D8EB910" w14:textId="77777777" w:rsidTr="008D0113">
        <w:tc>
          <w:tcPr>
            <w:tcW w:w="568" w:type="dxa"/>
          </w:tcPr>
          <w:p w14:paraId="244489B9" w14:textId="075E5ACE" w:rsidR="00794E56" w:rsidRDefault="00794E56" w:rsidP="00533173">
            <w:pPr>
              <w:jc w:val="center"/>
              <w:rPr>
                <w:lang w:val="hr-HR"/>
              </w:rPr>
            </w:pPr>
            <w:r>
              <w:rPr>
                <w:lang w:val="hr-HR"/>
              </w:rPr>
              <w:t>13.</w:t>
            </w:r>
          </w:p>
        </w:tc>
        <w:tc>
          <w:tcPr>
            <w:tcW w:w="6237" w:type="dxa"/>
          </w:tcPr>
          <w:p w14:paraId="17CC06F3" w14:textId="77777777" w:rsidR="00794E56" w:rsidRDefault="009F0EAA" w:rsidP="006717F2">
            <w:pPr>
              <w:jc w:val="both"/>
              <w:rPr>
                <w:lang w:val="hr-HR"/>
              </w:rPr>
            </w:pPr>
            <w:r w:rsidRPr="009F0EAA">
              <w:rPr>
                <w:lang w:val="hr-HR"/>
              </w:rPr>
              <w:t>Pod p</w:t>
            </w:r>
            <w:r>
              <w:rPr>
                <w:lang w:val="hr-HR"/>
              </w:rPr>
              <w:t>okazatelje „znanstveni članak“</w:t>
            </w:r>
            <w:r w:rsidRPr="009F0EAA">
              <w:rPr>
                <w:lang w:val="hr-HR"/>
              </w:rPr>
              <w:t xml:space="preserve"> broji li se i stručni znanstveni članak kao prihvatljiv pokazatelj?</w:t>
            </w:r>
          </w:p>
          <w:p w14:paraId="74644310" w14:textId="431500C9" w:rsidR="009F0EAA" w:rsidRPr="009A2829" w:rsidRDefault="009F0EAA" w:rsidP="006717F2">
            <w:pPr>
              <w:jc w:val="both"/>
              <w:rPr>
                <w:lang w:val="hr-HR"/>
              </w:rPr>
            </w:pPr>
          </w:p>
        </w:tc>
        <w:tc>
          <w:tcPr>
            <w:tcW w:w="6521" w:type="dxa"/>
          </w:tcPr>
          <w:p w14:paraId="456DBA3E" w14:textId="373E9E9C" w:rsidR="00794E56" w:rsidRPr="00080C84" w:rsidRDefault="00080C84" w:rsidP="00247FBC">
            <w:pPr>
              <w:pStyle w:val="ESFBodysivo"/>
              <w:spacing w:line="240" w:lineRule="auto"/>
              <w:rPr>
                <w:rFonts w:eastAsia="Droid Sans Fallback" w:cs="Times New Roman"/>
                <w:sz w:val="22"/>
              </w:rPr>
            </w:pPr>
            <w:r w:rsidRPr="00080C84">
              <w:rPr>
                <w:rFonts w:eastAsia="Droid Sans Fallback" w:cs="Times New Roman"/>
                <w:sz w:val="22"/>
              </w:rPr>
              <w:t xml:space="preserve">U skladu </w:t>
            </w:r>
            <w:r>
              <w:rPr>
                <w:rFonts w:eastAsia="Droid Sans Fallback" w:cs="Times New Roman"/>
                <w:sz w:val="22"/>
              </w:rPr>
              <w:t>s</w:t>
            </w:r>
            <w:r w:rsidR="00247FBC">
              <w:rPr>
                <w:rFonts w:eastAsia="Droid Sans Fallback" w:cs="Times New Roman"/>
                <w:sz w:val="22"/>
              </w:rPr>
              <w:t xml:space="preserve"> Uputama za prijavitelje,</w:t>
            </w:r>
            <w:r>
              <w:rPr>
                <w:rFonts w:eastAsia="Droid Sans Fallback" w:cs="Times New Roman"/>
                <w:sz w:val="22"/>
              </w:rPr>
              <w:t xml:space="preserve"> točkom 1.5 </w:t>
            </w:r>
            <w:r w:rsidRPr="00080C84">
              <w:rPr>
                <w:rFonts w:eastAsia="Droid Sans Fallback" w:cs="Times New Roman"/>
                <w:sz w:val="22"/>
              </w:rPr>
              <w:t>Pokazatelji</w:t>
            </w:r>
            <w:r>
              <w:rPr>
                <w:rFonts w:eastAsia="Droid Sans Fallback" w:cs="Times New Roman"/>
                <w:sz w:val="22"/>
              </w:rPr>
              <w:t>,</w:t>
            </w:r>
            <w:r w:rsidRPr="00080C84">
              <w:rPr>
                <w:rFonts w:eastAsia="Droid Sans Fallback" w:cs="Times New Roman"/>
                <w:sz w:val="22"/>
              </w:rPr>
              <w:t xml:space="preserve"> </w:t>
            </w:r>
            <w:r>
              <w:rPr>
                <w:rFonts w:eastAsia="Droid Sans Fallback" w:cs="Times New Roman"/>
                <w:sz w:val="22"/>
              </w:rPr>
              <w:t>„</w:t>
            </w:r>
            <w:r w:rsidRPr="00080C84">
              <w:rPr>
                <w:rFonts w:eastAsia="Droid Sans Fallback" w:cs="Times New Roman"/>
                <w:sz w:val="22"/>
              </w:rPr>
              <w:t>Broj objavljenih stručnih članaka</w:t>
            </w:r>
            <w:r>
              <w:rPr>
                <w:rFonts w:eastAsia="Droid Sans Fallback" w:cs="Times New Roman"/>
                <w:sz w:val="22"/>
              </w:rPr>
              <w:t>“</w:t>
            </w:r>
            <w:r w:rsidRPr="00080C84">
              <w:rPr>
                <w:rFonts w:eastAsia="Droid Sans Fallback" w:cs="Times New Roman"/>
                <w:sz w:val="22"/>
              </w:rPr>
              <w:t xml:space="preserve"> je poseban pokazatelj br. 10 (sukladno izmjeni natječajne dokumentacije) te se stoga objavljeni stručni članci ubrajaju pod broj objavljenih stručnih članaka u sklopu navedenog pokazatelja.</w:t>
            </w:r>
          </w:p>
        </w:tc>
      </w:tr>
      <w:tr w:rsidR="00080C84" w:rsidRPr="00485B59" w14:paraId="59B4FD1A" w14:textId="77777777" w:rsidTr="008D0113">
        <w:tc>
          <w:tcPr>
            <w:tcW w:w="568" w:type="dxa"/>
          </w:tcPr>
          <w:p w14:paraId="75626238" w14:textId="0F5EBD6B" w:rsidR="00080C84" w:rsidRDefault="00080C84" w:rsidP="00533173">
            <w:pPr>
              <w:jc w:val="center"/>
              <w:rPr>
                <w:lang w:val="hr-HR"/>
              </w:rPr>
            </w:pPr>
            <w:r>
              <w:rPr>
                <w:lang w:val="hr-HR"/>
              </w:rPr>
              <w:t>14.</w:t>
            </w:r>
          </w:p>
        </w:tc>
        <w:tc>
          <w:tcPr>
            <w:tcW w:w="6237" w:type="dxa"/>
          </w:tcPr>
          <w:p w14:paraId="3B7A0992" w14:textId="158BBC82" w:rsidR="00B803C8" w:rsidRPr="00B803C8" w:rsidRDefault="00C87B2C" w:rsidP="00B803C8">
            <w:pPr>
              <w:jc w:val="both"/>
              <w:rPr>
                <w:lang w:val="hr-HR"/>
              </w:rPr>
            </w:pPr>
            <w:r>
              <w:rPr>
                <w:lang w:val="hr-HR"/>
              </w:rPr>
              <w:t>Vezano za prihvatljive</w:t>
            </w:r>
            <w:r w:rsidR="00B803C8">
              <w:rPr>
                <w:lang w:val="hr-HR"/>
              </w:rPr>
              <w:t xml:space="preserve"> aktivnosti, Komponenta 1, Element 6.</w:t>
            </w:r>
            <w:r w:rsidR="00B803C8" w:rsidRPr="00B803C8">
              <w:rPr>
                <w:lang w:val="hr-HR"/>
              </w:rPr>
              <w:t xml:space="preserve"> Broj provedenih analiza društvenog utjecaja predloženih intervencija, što točno znači 6 provedenih analiza</w:t>
            </w:r>
            <w:r w:rsidR="007C7624">
              <w:rPr>
                <w:lang w:val="hr-HR"/>
              </w:rPr>
              <w:t>? Š</w:t>
            </w:r>
            <w:r w:rsidR="00B803C8" w:rsidRPr="00B803C8">
              <w:rPr>
                <w:lang w:val="hr-HR"/>
              </w:rPr>
              <w:t>to se točno obujmom sm</w:t>
            </w:r>
            <w:r w:rsidR="00D06F5F">
              <w:rPr>
                <w:lang w:val="hr-HR"/>
              </w:rPr>
              <w:t>atra jednom analizom? Š</w:t>
            </w:r>
            <w:r w:rsidR="00B803C8" w:rsidRPr="00B803C8">
              <w:rPr>
                <w:lang w:val="hr-HR"/>
              </w:rPr>
              <w:t>to se točno smatra provedbom analize? Također, je li potrebno odraditi sve navedene aktivnosti koje su navedene u Elementu 6?</w:t>
            </w:r>
          </w:p>
          <w:p w14:paraId="5A5EFE3F" w14:textId="77777777" w:rsidR="00080C84" w:rsidRPr="009F0EAA" w:rsidRDefault="00080C84" w:rsidP="006717F2">
            <w:pPr>
              <w:jc w:val="both"/>
              <w:rPr>
                <w:lang w:val="hr-HR"/>
              </w:rPr>
            </w:pPr>
          </w:p>
        </w:tc>
        <w:tc>
          <w:tcPr>
            <w:tcW w:w="6521" w:type="dxa"/>
          </w:tcPr>
          <w:p w14:paraId="1A49BCF8" w14:textId="77777777" w:rsidR="00080C84" w:rsidRDefault="00FD2277" w:rsidP="00143338">
            <w:pPr>
              <w:jc w:val="both"/>
              <w:rPr>
                <w:rStyle w:val="Bez"/>
                <w:bCs/>
                <w:color w:val="000000"/>
                <w:u w:color="000000"/>
                <w:lang w:val="hr-HR"/>
              </w:rPr>
            </w:pPr>
            <w:r w:rsidRPr="00FD2277">
              <w:rPr>
                <w:rStyle w:val="Bez"/>
                <w:bCs/>
                <w:color w:val="000000"/>
                <w:u w:color="000000"/>
                <w:lang w:val="hr-HR"/>
              </w:rPr>
              <w:t>Uputam</w:t>
            </w:r>
            <w:r>
              <w:rPr>
                <w:rStyle w:val="Bez"/>
                <w:bCs/>
                <w:color w:val="000000"/>
                <w:u w:color="000000"/>
                <w:lang w:val="hr-HR"/>
              </w:rPr>
              <w:t xml:space="preserve">a za prijavitelje u točci 3.3 </w:t>
            </w:r>
            <w:r w:rsidRPr="00FD2277">
              <w:rPr>
                <w:rStyle w:val="Bez"/>
                <w:bCs/>
                <w:color w:val="000000"/>
                <w:u w:color="000000"/>
                <w:lang w:val="hr-HR"/>
              </w:rPr>
              <w:t>Prihvatljive aktivnosti opisno je navedeno što podrazumijeva izrada provedba analize društvenog utjecaja predloženih intervencija</w:t>
            </w:r>
            <w:r>
              <w:rPr>
                <w:rStyle w:val="Bez"/>
                <w:bCs/>
                <w:color w:val="000000"/>
                <w:u w:color="000000"/>
                <w:lang w:val="hr-HR"/>
              </w:rPr>
              <w:t>,</w:t>
            </w:r>
            <w:r w:rsidRPr="00FD2277">
              <w:rPr>
                <w:rStyle w:val="Bez"/>
                <w:bCs/>
                <w:color w:val="000000"/>
                <w:u w:color="000000"/>
                <w:lang w:val="hr-HR"/>
              </w:rPr>
              <w:t xml:space="preserve"> odnosno navedeno je kako ona uključuje: izradu metodologije analize društvenog utjecaja intervencija, provedbu analiza društvenog utjecaja intervencija te predstavljanje rezultata provedenih analiza. Za iste </w:t>
            </w:r>
            <w:r>
              <w:rPr>
                <w:rStyle w:val="Bez"/>
                <w:bCs/>
                <w:color w:val="000000"/>
                <w:u w:color="000000"/>
                <w:lang w:val="hr-HR"/>
              </w:rPr>
              <w:t xml:space="preserve">je predmetne analize </w:t>
            </w:r>
            <w:r w:rsidRPr="00FD2277">
              <w:rPr>
                <w:rStyle w:val="Bez"/>
                <w:bCs/>
                <w:color w:val="000000"/>
                <w:u w:color="000000"/>
                <w:lang w:val="hr-HR"/>
              </w:rPr>
              <w:t>predviđeno da se provode u suradnji OCD-a i akademskih i/ili znanstveno</w:t>
            </w:r>
            <w:r>
              <w:rPr>
                <w:rStyle w:val="Bez"/>
                <w:bCs/>
                <w:color w:val="000000"/>
                <w:u w:color="000000"/>
                <w:lang w:val="hr-HR"/>
              </w:rPr>
              <w:t>-istraživačkih institucija</w:t>
            </w:r>
            <w:r w:rsidRPr="00FD2277">
              <w:rPr>
                <w:rStyle w:val="Bez"/>
                <w:bCs/>
                <w:color w:val="000000"/>
                <w:u w:color="000000"/>
                <w:lang w:val="hr-HR"/>
              </w:rPr>
              <w:t xml:space="preserve"> te stoga njihova provedba mora </w:t>
            </w:r>
            <w:r w:rsidRPr="00FD2277">
              <w:rPr>
                <w:rStyle w:val="Bez"/>
                <w:bCs/>
                <w:color w:val="000000"/>
                <w:u w:color="000000"/>
                <w:lang w:val="hr-HR"/>
              </w:rPr>
              <w:lastRenderedPageBreak/>
              <w:t>uključivati i koordinacijske sastanke OCD-a i partnera.</w:t>
            </w:r>
          </w:p>
          <w:p w14:paraId="094C9321" w14:textId="14A508A7" w:rsidR="00143338" w:rsidRPr="00143338" w:rsidRDefault="00143338" w:rsidP="00143338">
            <w:pPr>
              <w:jc w:val="both"/>
              <w:rPr>
                <w:bCs/>
                <w:color w:val="000000"/>
                <w:u w:color="000000"/>
                <w:lang w:val="hr-HR"/>
              </w:rPr>
            </w:pPr>
          </w:p>
        </w:tc>
      </w:tr>
      <w:tr w:rsidR="0014088C" w:rsidRPr="00485B59" w14:paraId="6503C54F" w14:textId="77777777" w:rsidTr="008D0113">
        <w:tc>
          <w:tcPr>
            <w:tcW w:w="568" w:type="dxa"/>
          </w:tcPr>
          <w:p w14:paraId="429BA353" w14:textId="5CB5577E" w:rsidR="0014088C" w:rsidRDefault="0014088C" w:rsidP="00533173">
            <w:pPr>
              <w:jc w:val="center"/>
              <w:rPr>
                <w:lang w:val="hr-HR"/>
              </w:rPr>
            </w:pPr>
            <w:r>
              <w:rPr>
                <w:lang w:val="hr-HR"/>
              </w:rPr>
              <w:lastRenderedPageBreak/>
              <w:t>15.</w:t>
            </w:r>
          </w:p>
        </w:tc>
        <w:tc>
          <w:tcPr>
            <w:tcW w:w="6237" w:type="dxa"/>
          </w:tcPr>
          <w:p w14:paraId="71BBC617" w14:textId="2CB0154F" w:rsidR="00E067F0" w:rsidRPr="00E067F0" w:rsidRDefault="00E067F0" w:rsidP="00E067F0">
            <w:pPr>
              <w:jc w:val="both"/>
              <w:rPr>
                <w:lang w:val="hr-HR"/>
              </w:rPr>
            </w:pPr>
            <w:r w:rsidRPr="00E067F0">
              <w:rPr>
                <w:lang w:val="hr-HR"/>
              </w:rPr>
              <w:t xml:space="preserve">Kad je riječ o redoslijedu Elemenata u raspisu </w:t>
            </w:r>
            <w:r>
              <w:rPr>
                <w:lang w:val="hr-HR"/>
              </w:rPr>
              <w:t>Poziva</w:t>
            </w:r>
            <w:r w:rsidRPr="00E067F0">
              <w:rPr>
                <w:lang w:val="hr-HR"/>
              </w:rPr>
              <w:t xml:space="preserve"> </w:t>
            </w:r>
            <w:r>
              <w:rPr>
                <w:lang w:val="hr-HR"/>
              </w:rPr>
              <w:t xml:space="preserve">uočeno je </w:t>
            </w:r>
            <w:r w:rsidRPr="00E067F0">
              <w:rPr>
                <w:lang w:val="hr-HR"/>
              </w:rPr>
              <w:t xml:space="preserve">da se on razlikuje od redoslijeda kojim se Elementi navode u Prijavnom obrascu A. Konkretno, Element </w:t>
            </w:r>
            <w:r>
              <w:rPr>
                <w:lang w:val="hr-HR"/>
              </w:rPr>
              <w:t>„</w:t>
            </w:r>
            <w:r w:rsidRPr="00E067F0">
              <w:rPr>
                <w:lang w:val="hr-HR"/>
              </w:rPr>
              <w:t>Upravljanje projektom i administracija</w:t>
            </w:r>
            <w:r>
              <w:rPr>
                <w:lang w:val="hr-HR"/>
              </w:rPr>
              <w:t>“</w:t>
            </w:r>
            <w:r w:rsidRPr="00E067F0">
              <w:rPr>
                <w:lang w:val="hr-HR"/>
              </w:rPr>
              <w:t xml:space="preserve"> u </w:t>
            </w:r>
            <w:r>
              <w:rPr>
                <w:lang w:val="hr-HR"/>
              </w:rPr>
              <w:t>Pozivu</w:t>
            </w:r>
            <w:r w:rsidRPr="00E067F0">
              <w:rPr>
                <w:lang w:val="hr-HR"/>
              </w:rPr>
              <w:t xml:space="preserve"> je naveden kao Element 1, dok je u Prijavnom obrascu A naveden na kraju, kao zaseb</w:t>
            </w:r>
            <w:r>
              <w:rPr>
                <w:lang w:val="hr-HR"/>
              </w:rPr>
              <w:t>an Element. O</w:t>
            </w:r>
            <w:r w:rsidRPr="00E067F0">
              <w:rPr>
                <w:lang w:val="hr-HR"/>
              </w:rPr>
              <w:t xml:space="preserve">bzirom na to da ćemo se u unošenju Elemenata u Prijavni obrazac A morati voditi mogućnostima unosa u </w:t>
            </w:r>
            <w:r w:rsidR="00A170FA">
              <w:rPr>
                <w:lang w:val="hr-HR"/>
              </w:rPr>
              <w:t>Prijavnom obrascu</w:t>
            </w:r>
            <w:r w:rsidRPr="00E067F0">
              <w:rPr>
                <w:lang w:val="hr-HR"/>
              </w:rPr>
              <w:t xml:space="preserve"> A, tada to znači da će se promijeniti i redoslijed svih drugih elemenata, drugim riječima Element 2. Jačanje partnerstva organizacija civilnog društva i uključivanje novih članica i članova tematske mrež</w:t>
            </w:r>
            <w:r>
              <w:rPr>
                <w:lang w:val="hr-HR"/>
              </w:rPr>
              <w:t>e postaje Element 1</w:t>
            </w:r>
            <w:r w:rsidRPr="00E067F0">
              <w:rPr>
                <w:lang w:val="hr-HR"/>
              </w:rPr>
              <w:t>, Element 3. Provedba ispitivanja javnog mnijenja i ispitivanje potreba društva postaje El</w:t>
            </w:r>
            <w:r>
              <w:rPr>
                <w:lang w:val="hr-HR"/>
              </w:rPr>
              <w:t>ement 2</w:t>
            </w:r>
            <w:r w:rsidRPr="00E067F0">
              <w:rPr>
                <w:lang w:val="hr-HR"/>
              </w:rPr>
              <w:t>, itd. Je li takav unos prihvatljiv?</w:t>
            </w:r>
          </w:p>
          <w:p w14:paraId="67D58F60" w14:textId="77777777" w:rsidR="0014088C" w:rsidRDefault="0014088C" w:rsidP="00B803C8">
            <w:pPr>
              <w:jc w:val="both"/>
              <w:rPr>
                <w:lang w:val="hr-HR"/>
              </w:rPr>
            </w:pPr>
          </w:p>
        </w:tc>
        <w:tc>
          <w:tcPr>
            <w:tcW w:w="6521" w:type="dxa"/>
          </w:tcPr>
          <w:p w14:paraId="5022329C" w14:textId="3F8D209F" w:rsidR="00E067F0" w:rsidRPr="00E067F0" w:rsidRDefault="00E067F0" w:rsidP="00E067F0">
            <w:pPr>
              <w:jc w:val="both"/>
              <w:rPr>
                <w:bCs/>
                <w:color w:val="000000"/>
                <w:u w:color="000000"/>
                <w:lang w:val="hr-HR"/>
              </w:rPr>
            </w:pPr>
            <w:r w:rsidRPr="00E067F0">
              <w:rPr>
                <w:bCs/>
                <w:color w:val="000000"/>
                <w:u w:color="000000"/>
                <w:lang w:val="hr-HR"/>
              </w:rPr>
              <w:t>Usklađivanje numeracije pojedinih elemenata s</w:t>
            </w:r>
            <w:r w:rsidR="00A170FA">
              <w:rPr>
                <w:bCs/>
                <w:color w:val="000000"/>
                <w:u w:color="000000"/>
                <w:lang w:val="hr-HR"/>
              </w:rPr>
              <w:t xml:space="preserve"> numeracijom zadanom Prijavnim o</w:t>
            </w:r>
            <w:r w:rsidRPr="00E067F0">
              <w:rPr>
                <w:bCs/>
                <w:color w:val="000000"/>
                <w:u w:color="000000"/>
                <w:lang w:val="hr-HR"/>
              </w:rPr>
              <w:t>brascem A nije potrebno.</w:t>
            </w:r>
          </w:p>
          <w:p w14:paraId="06EA491E" w14:textId="77777777" w:rsidR="0014088C" w:rsidRPr="00FD2277" w:rsidRDefault="0014088C" w:rsidP="00FD2277">
            <w:pPr>
              <w:jc w:val="both"/>
              <w:rPr>
                <w:rStyle w:val="Bez"/>
                <w:bCs/>
                <w:color w:val="000000"/>
                <w:u w:color="000000"/>
                <w:lang w:val="hr-HR"/>
              </w:rPr>
            </w:pPr>
          </w:p>
        </w:tc>
      </w:tr>
      <w:tr w:rsidR="00E067F0" w:rsidRPr="00485B59" w14:paraId="34D56B4E" w14:textId="77777777" w:rsidTr="008D0113">
        <w:tc>
          <w:tcPr>
            <w:tcW w:w="568" w:type="dxa"/>
          </w:tcPr>
          <w:p w14:paraId="1FFB3C84" w14:textId="7A825BC2" w:rsidR="00E067F0" w:rsidRDefault="00E067F0" w:rsidP="00533173">
            <w:pPr>
              <w:jc w:val="center"/>
              <w:rPr>
                <w:lang w:val="hr-HR"/>
              </w:rPr>
            </w:pPr>
            <w:r>
              <w:rPr>
                <w:lang w:val="hr-HR"/>
              </w:rPr>
              <w:t>16.</w:t>
            </w:r>
          </w:p>
        </w:tc>
        <w:tc>
          <w:tcPr>
            <w:tcW w:w="6237" w:type="dxa"/>
          </w:tcPr>
          <w:p w14:paraId="5A098706" w14:textId="55668F1D" w:rsidR="00E067F0" w:rsidRDefault="004E0F38" w:rsidP="00897E43">
            <w:pPr>
              <w:jc w:val="both"/>
              <w:rPr>
                <w:lang w:val="hr-HR"/>
              </w:rPr>
            </w:pPr>
            <w:r>
              <w:rPr>
                <w:lang w:val="hr-HR"/>
              </w:rPr>
              <w:t>U</w:t>
            </w:r>
            <w:r w:rsidR="00CB5A2D" w:rsidRPr="00CB5A2D">
              <w:rPr>
                <w:lang w:val="hr-HR"/>
              </w:rPr>
              <w:t xml:space="preserve"> </w:t>
            </w:r>
            <w:r>
              <w:rPr>
                <w:lang w:val="hr-HR"/>
              </w:rPr>
              <w:t xml:space="preserve">Specifičnim </w:t>
            </w:r>
            <w:r w:rsidR="00CB5A2D" w:rsidRPr="00CB5A2D">
              <w:rPr>
                <w:lang w:val="hr-HR"/>
              </w:rPr>
              <w:t>pokazateljima</w:t>
            </w:r>
            <w:r>
              <w:rPr>
                <w:lang w:val="hr-HR"/>
              </w:rPr>
              <w:t xml:space="preserve"> se dva puta navodi pokazatelj „Broj provedenih znanstvenih istraživanja“, opisan kao „Broj provedenih znanstvenih istraživanja u minimalnoj vrijednosti od 3“. </w:t>
            </w:r>
            <w:r w:rsidR="00897E43">
              <w:rPr>
                <w:lang w:val="hr-HR"/>
              </w:rPr>
              <w:t>J</w:t>
            </w:r>
            <w:r w:rsidR="00CB5A2D" w:rsidRPr="00CB5A2D">
              <w:rPr>
                <w:lang w:val="hr-HR"/>
              </w:rPr>
              <w:t xml:space="preserve">e li to </w:t>
            </w:r>
            <w:r w:rsidR="00897E43">
              <w:rPr>
                <w:lang w:val="hr-HR"/>
              </w:rPr>
              <w:t>po</w:t>
            </w:r>
            <w:r w:rsidR="00CB5A2D" w:rsidRPr="00CB5A2D">
              <w:rPr>
                <w:lang w:val="hr-HR"/>
              </w:rPr>
              <w:t>greška ili treba biti ukupno 6</w:t>
            </w:r>
            <w:r>
              <w:rPr>
                <w:lang w:val="hr-HR"/>
              </w:rPr>
              <w:t xml:space="preserve"> provedenih</w:t>
            </w:r>
            <w:r w:rsidR="00CB5A2D" w:rsidRPr="00CB5A2D">
              <w:rPr>
                <w:lang w:val="hr-HR"/>
              </w:rPr>
              <w:t xml:space="preserve"> znanstvenih istraživanja? </w:t>
            </w:r>
          </w:p>
          <w:p w14:paraId="044D46E9" w14:textId="41C913CD" w:rsidR="00897E43" w:rsidRPr="00E067F0" w:rsidRDefault="00897E43" w:rsidP="00897E43">
            <w:pPr>
              <w:jc w:val="both"/>
              <w:rPr>
                <w:lang w:val="hr-HR"/>
              </w:rPr>
            </w:pPr>
          </w:p>
        </w:tc>
        <w:tc>
          <w:tcPr>
            <w:tcW w:w="6521" w:type="dxa"/>
          </w:tcPr>
          <w:p w14:paraId="23A6108B" w14:textId="717337A5" w:rsidR="00E067F0" w:rsidRPr="00E067F0" w:rsidRDefault="007852C8" w:rsidP="00860942">
            <w:pPr>
              <w:jc w:val="both"/>
              <w:rPr>
                <w:bCs/>
                <w:color w:val="000000"/>
                <w:u w:color="000000"/>
                <w:lang w:val="hr-HR"/>
              </w:rPr>
            </w:pPr>
            <w:r w:rsidRPr="007852C8">
              <w:rPr>
                <w:bCs/>
                <w:color w:val="000000"/>
                <w:u w:color="000000"/>
                <w:lang w:val="hr-HR"/>
              </w:rPr>
              <w:t>U Uputam</w:t>
            </w:r>
            <w:r>
              <w:rPr>
                <w:bCs/>
                <w:color w:val="000000"/>
                <w:u w:color="000000"/>
                <w:lang w:val="hr-HR"/>
              </w:rPr>
              <w:t>a za prijavitelje, u točci 1.5 Pokazatelji,</w:t>
            </w:r>
            <w:r w:rsidRPr="007852C8">
              <w:rPr>
                <w:bCs/>
                <w:color w:val="000000"/>
                <w:u w:color="000000"/>
                <w:lang w:val="hr-HR"/>
              </w:rPr>
              <w:t xml:space="preserve"> </w:t>
            </w:r>
            <w:r w:rsidR="00860942">
              <w:rPr>
                <w:bCs/>
                <w:color w:val="000000"/>
                <w:u w:color="000000"/>
                <w:lang w:val="hr-HR"/>
              </w:rPr>
              <w:t>pogreškom</w:t>
            </w:r>
            <w:r w:rsidRPr="007852C8">
              <w:rPr>
                <w:bCs/>
                <w:color w:val="000000"/>
                <w:u w:color="000000"/>
                <w:lang w:val="hr-HR"/>
              </w:rPr>
              <w:t xml:space="preserve"> je dva puta (kod pokazatelja br. 4 i br. 10) naveden broj provedenih znanstvenih istraživanja. Isto je uređeno izmjenom natječajne dokumentacije.</w:t>
            </w:r>
          </w:p>
        </w:tc>
      </w:tr>
      <w:tr w:rsidR="007852C8" w:rsidRPr="00485B59" w14:paraId="25F28F25" w14:textId="77777777" w:rsidTr="008D0113">
        <w:tc>
          <w:tcPr>
            <w:tcW w:w="568" w:type="dxa"/>
          </w:tcPr>
          <w:p w14:paraId="28DCF372" w14:textId="656A374F" w:rsidR="007852C8" w:rsidRDefault="007852C8" w:rsidP="00533173">
            <w:pPr>
              <w:jc w:val="center"/>
              <w:rPr>
                <w:lang w:val="hr-HR"/>
              </w:rPr>
            </w:pPr>
            <w:r>
              <w:rPr>
                <w:lang w:val="hr-HR"/>
              </w:rPr>
              <w:t>17.</w:t>
            </w:r>
          </w:p>
        </w:tc>
        <w:tc>
          <w:tcPr>
            <w:tcW w:w="6237" w:type="dxa"/>
          </w:tcPr>
          <w:p w14:paraId="48F97DB4" w14:textId="22F72A81" w:rsidR="007852C8" w:rsidRDefault="004C7021" w:rsidP="004C7021">
            <w:pPr>
              <w:jc w:val="both"/>
              <w:rPr>
                <w:rFonts w:ascii="Calibri" w:eastAsia="Calibri" w:hAnsi="Calibri" w:cs="Times New Roman"/>
                <w:lang w:val="hr-HR"/>
              </w:rPr>
            </w:pPr>
            <w:r w:rsidRPr="004C7021">
              <w:rPr>
                <w:rFonts w:ascii="Calibri" w:eastAsia="Calibri" w:hAnsi="Calibri" w:cs="Times New Roman"/>
                <w:lang w:val="hr-HR"/>
              </w:rPr>
              <w:t xml:space="preserve">U </w:t>
            </w:r>
            <w:r>
              <w:rPr>
                <w:rFonts w:ascii="Calibri" w:eastAsia="Calibri" w:hAnsi="Calibri" w:cs="Times New Roman"/>
                <w:lang w:val="hr-HR"/>
              </w:rPr>
              <w:t xml:space="preserve">prihvatljivim aktivnostima Komponente 1, u </w:t>
            </w:r>
            <w:r w:rsidRPr="004C7021">
              <w:rPr>
                <w:rFonts w:ascii="Calibri" w:eastAsia="Calibri" w:hAnsi="Calibri" w:cs="Times New Roman"/>
                <w:bCs/>
                <w:lang w:val="hr-HR"/>
              </w:rPr>
              <w:t>Elementu 5. Izrada smjernica za razvoj javnih politika utemeljenih na dokazima</w:t>
            </w:r>
            <w:r w:rsidRPr="004C7021">
              <w:rPr>
                <w:rFonts w:ascii="Calibri" w:eastAsia="Calibri" w:hAnsi="Calibri" w:cs="Times New Roman"/>
                <w:lang w:val="hr-HR"/>
              </w:rPr>
              <w:t>, na koje se smjernice točno misli? Smjernice namijenjene kome točno, kojoj cilj</w:t>
            </w:r>
            <w:r>
              <w:rPr>
                <w:rFonts w:ascii="Calibri" w:eastAsia="Calibri" w:hAnsi="Calibri" w:cs="Times New Roman"/>
                <w:lang w:val="hr-HR"/>
              </w:rPr>
              <w:t>a</w:t>
            </w:r>
            <w:r w:rsidRPr="004C7021">
              <w:rPr>
                <w:rFonts w:ascii="Calibri" w:eastAsia="Calibri" w:hAnsi="Calibri" w:cs="Times New Roman"/>
                <w:lang w:val="hr-HR"/>
              </w:rPr>
              <w:t xml:space="preserve">noj skupini - donositeljima odluka, ako da, kojima? Ili namijenjene udrugama? </w:t>
            </w:r>
          </w:p>
          <w:p w14:paraId="3F7431FC" w14:textId="25765DCE" w:rsidR="004C7021" w:rsidRDefault="004C7021" w:rsidP="004C7021">
            <w:pPr>
              <w:jc w:val="both"/>
              <w:rPr>
                <w:lang w:val="hr-HR"/>
              </w:rPr>
            </w:pPr>
          </w:p>
        </w:tc>
        <w:tc>
          <w:tcPr>
            <w:tcW w:w="6521" w:type="dxa"/>
          </w:tcPr>
          <w:p w14:paraId="67AE54A8" w14:textId="728F8473" w:rsidR="007852C8" w:rsidRPr="007852C8" w:rsidRDefault="008E7A64" w:rsidP="00E067F0">
            <w:pPr>
              <w:jc w:val="both"/>
              <w:rPr>
                <w:bCs/>
                <w:color w:val="000000"/>
                <w:u w:color="000000"/>
                <w:lang w:val="hr-HR"/>
              </w:rPr>
            </w:pPr>
            <w:r w:rsidRPr="008E7A64">
              <w:rPr>
                <w:rFonts w:ascii="Calibri" w:eastAsia="Calibri" w:hAnsi="Calibri" w:cs="Times New Roman"/>
                <w:lang w:val="hr-HR"/>
              </w:rPr>
              <w:t>Isto nije izričito utvrđeno Pozivom.</w:t>
            </w:r>
          </w:p>
        </w:tc>
      </w:tr>
      <w:tr w:rsidR="008E7A64" w:rsidRPr="00485B59" w14:paraId="23EFB588" w14:textId="77777777" w:rsidTr="008D0113">
        <w:tc>
          <w:tcPr>
            <w:tcW w:w="568" w:type="dxa"/>
          </w:tcPr>
          <w:p w14:paraId="7582E7A3" w14:textId="3E13F49A" w:rsidR="008E7A64" w:rsidRDefault="008E7A64" w:rsidP="00533173">
            <w:pPr>
              <w:jc w:val="center"/>
              <w:rPr>
                <w:lang w:val="hr-HR"/>
              </w:rPr>
            </w:pPr>
            <w:r>
              <w:rPr>
                <w:lang w:val="hr-HR"/>
              </w:rPr>
              <w:t>18.</w:t>
            </w:r>
          </w:p>
        </w:tc>
        <w:tc>
          <w:tcPr>
            <w:tcW w:w="6237" w:type="dxa"/>
          </w:tcPr>
          <w:p w14:paraId="177CAE58" w14:textId="77777777" w:rsidR="008E7A64" w:rsidRDefault="008E7A64" w:rsidP="004C7021">
            <w:pPr>
              <w:jc w:val="both"/>
              <w:rPr>
                <w:rFonts w:ascii="Calibri" w:eastAsia="Calibri" w:hAnsi="Calibri" w:cs="Times New Roman"/>
                <w:lang w:val="hr-HR"/>
              </w:rPr>
            </w:pPr>
            <w:r w:rsidRPr="008E7A64">
              <w:rPr>
                <w:rFonts w:ascii="Calibri" w:eastAsia="Calibri" w:hAnsi="Calibri" w:cs="Times New Roman"/>
                <w:lang w:val="hr-HR"/>
              </w:rPr>
              <w:t xml:space="preserve">U </w:t>
            </w:r>
            <w:r w:rsidR="001C5471">
              <w:rPr>
                <w:rFonts w:ascii="Calibri" w:eastAsia="Calibri" w:hAnsi="Calibri" w:cs="Times New Roman"/>
                <w:lang w:val="hr-HR"/>
              </w:rPr>
              <w:t xml:space="preserve">prihvatljivim aktivnostima Komponente 1, </w:t>
            </w:r>
            <w:r w:rsidRPr="008E7A64">
              <w:rPr>
                <w:rFonts w:ascii="Calibri" w:eastAsia="Calibri" w:hAnsi="Calibri" w:cs="Times New Roman"/>
                <w:bCs/>
                <w:lang w:val="hr-HR"/>
              </w:rPr>
              <w:t>Elementu 6. Broj provedenih analiza društvenog utjecaja predloženih intervencija</w:t>
            </w:r>
            <w:r w:rsidRPr="008E7A64">
              <w:rPr>
                <w:rFonts w:ascii="Calibri" w:eastAsia="Calibri" w:hAnsi="Calibri" w:cs="Times New Roman"/>
                <w:lang w:val="hr-HR"/>
              </w:rPr>
              <w:t>, na koje se točno intervencije misli? Na one predložene u smjernicama? Ako da, smjernice uobič</w:t>
            </w:r>
            <w:r w:rsidR="001C5471">
              <w:rPr>
                <w:rFonts w:ascii="Calibri" w:eastAsia="Calibri" w:hAnsi="Calibri" w:cs="Times New Roman"/>
                <w:lang w:val="hr-HR"/>
              </w:rPr>
              <w:t>ajeno ne uključuju intervencije te obzirom na to</w:t>
            </w:r>
            <w:r w:rsidRPr="008E7A64">
              <w:rPr>
                <w:rFonts w:ascii="Calibri" w:eastAsia="Calibri" w:hAnsi="Calibri" w:cs="Times New Roman"/>
                <w:lang w:val="hr-HR"/>
              </w:rPr>
              <w:t xml:space="preserve"> odnosi li se to na procjenu učinka </w:t>
            </w:r>
            <w:r w:rsidRPr="008E7A64">
              <w:rPr>
                <w:rFonts w:ascii="Calibri" w:eastAsia="Calibri" w:hAnsi="Calibri" w:cs="Times New Roman"/>
                <w:lang w:val="hr-HR"/>
              </w:rPr>
              <w:lastRenderedPageBreak/>
              <w:t>predloženih smje</w:t>
            </w:r>
            <w:r w:rsidR="001C5471">
              <w:rPr>
                <w:rFonts w:ascii="Calibri" w:eastAsia="Calibri" w:hAnsi="Calibri" w:cs="Times New Roman"/>
                <w:lang w:val="hr-HR"/>
              </w:rPr>
              <w:t>rnica?</w:t>
            </w:r>
          </w:p>
          <w:p w14:paraId="39FD60E2" w14:textId="1CC04751" w:rsidR="001C5471" w:rsidRPr="004C7021" w:rsidRDefault="001C5471" w:rsidP="004C7021">
            <w:pPr>
              <w:jc w:val="both"/>
              <w:rPr>
                <w:rFonts w:ascii="Calibri" w:eastAsia="Calibri" w:hAnsi="Calibri" w:cs="Times New Roman"/>
                <w:lang w:val="hr-HR"/>
              </w:rPr>
            </w:pPr>
          </w:p>
        </w:tc>
        <w:tc>
          <w:tcPr>
            <w:tcW w:w="6521" w:type="dxa"/>
          </w:tcPr>
          <w:p w14:paraId="487AA3EE" w14:textId="4FC25B1E" w:rsidR="008E7A64" w:rsidRPr="008E7A64" w:rsidRDefault="001C5471" w:rsidP="00E067F0">
            <w:pPr>
              <w:jc w:val="both"/>
              <w:rPr>
                <w:rFonts w:ascii="Calibri" w:eastAsia="Calibri" w:hAnsi="Calibri" w:cs="Times New Roman"/>
                <w:lang w:val="hr-HR"/>
              </w:rPr>
            </w:pPr>
            <w:r w:rsidRPr="001C5471">
              <w:rPr>
                <w:rFonts w:ascii="Calibri" w:eastAsia="Calibri" w:hAnsi="Calibri" w:cs="Times New Roman"/>
                <w:lang w:val="hr-HR"/>
              </w:rPr>
              <w:lastRenderedPageBreak/>
              <w:t>Da, odnosi se na procjenu učinka predloženih smjernica.</w:t>
            </w:r>
          </w:p>
        </w:tc>
      </w:tr>
      <w:tr w:rsidR="001C5471" w:rsidRPr="00485B59" w14:paraId="6A938124" w14:textId="77777777" w:rsidTr="008D0113">
        <w:tc>
          <w:tcPr>
            <w:tcW w:w="568" w:type="dxa"/>
          </w:tcPr>
          <w:p w14:paraId="46F4DE54" w14:textId="23B38126" w:rsidR="001C5471" w:rsidRDefault="001C5471" w:rsidP="00533173">
            <w:pPr>
              <w:jc w:val="center"/>
              <w:rPr>
                <w:lang w:val="hr-HR"/>
              </w:rPr>
            </w:pPr>
            <w:r>
              <w:rPr>
                <w:lang w:val="hr-HR"/>
              </w:rPr>
              <w:lastRenderedPageBreak/>
              <w:t>19.</w:t>
            </w:r>
          </w:p>
        </w:tc>
        <w:tc>
          <w:tcPr>
            <w:tcW w:w="6237" w:type="dxa"/>
          </w:tcPr>
          <w:p w14:paraId="697F337E" w14:textId="49BE721D" w:rsidR="001C5471" w:rsidRDefault="00DB7494" w:rsidP="004C7021">
            <w:pPr>
              <w:jc w:val="both"/>
              <w:rPr>
                <w:rFonts w:ascii="Calibri" w:eastAsia="Calibri" w:hAnsi="Calibri" w:cs="Times New Roman"/>
                <w:lang w:val="hr-HR"/>
              </w:rPr>
            </w:pPr>
            <w:r w:rsidRPr="00DB7494">
              <w:rPr>
                <w:rFonts w:ascii="Calibri" w:eastAsia="Calibri" w:hAnsi="Calibri" w:cs="Times New Roman"/>
                <w:lang w:val="hr-HR"/>
              </w:rPr>
              <w:t xml:space="preserve">U </w:t>
            </w:r>
            <w:r>
              <w:rPr>
                <w:rFonts w:ascii="Calibri" w:eastAsia="Calibri" w:hAnsi="Calibri" w:cs="Times New Roman"/>
                <w:lang w:val="hr-HR"/>
              </w:rPr>
              <w:t xml:space="preserve">prihvatljivim aktivnostima Komponente 1, </w:t>
            </w:r>
            <w:r w:rsidRPr="00DB7494">
              <w:rPr>
                <w:rFonts w:ascii="Calibri" w:eastAsia="Calibri" w:hAnsi="Calibri" w:cs="Times New Roman"/>
                <w:bCs/>
                <w:lang w:val="hr-HR"/>
              </w:rPr>
              <w:t>Elementu 7. Provedba strukturiranog dijaloga svih dionika i donositelja odluka</w:t>
            </w:r>
            <w:r w:rsidRPr="00DB7494">
              <w:rPr>
                <w:rFonts w:ascii="Calibri" w:eastAsia="Calibri" w:hAnsi="Calibri" w:cs="Times New Roman"/>
                <w:lang w:val="hr-HR"/>
              </w:rPr>
              <w:t xml:space="preserve">, na koje se točno dionike misli pod </w:t>
            </w:r>
            <w:r>
              <w:rPr>
                <w:rFonts w:ascii="Calibri" w:eastAsia="Calibri" w:hAnsi="Calibri" w:cs="Times New Roman"/>
                <w:lang w:val="hr-HR"/>
              </w:rPr>
              <w:t>„svih dionika“</w:t>
            </w:r>
            <w:r w:rsidRPr="00DB7494">
              <w:rPr>
                <w:rFonts w:ascii="Calibri" w:eastAsia="Calibri" w:hAnsi="Calibri" w:cs="Times New Roman"/>
                <w:lang w:val="hr-HR"/>
              </w:rPr>
              <w:t>? </w:t>
            </w:r>
          </w:p>
          <w:p w14:paraId="3B022172" w14:textId="2940C128" w:rsidR="00DB7494" w:rsidRPr="008E7A64" w:rsidRDefault="00DB7494" w:rsidP="004C7021">
            <w:pPr>
              <w:jc w:val="both"/>
              <w:rPr>
                <w:rFonts w:ascii="Calibri" w:eastAsia="Calibri" w:hAnsi="Calibri" w:cs="Times New Roman"/>
                <w:lang w:val="hr-HR"/>
              </w:rPr>
            </w:pPr>
          </w:p>
        </w:tc>
        <w:tc>
          <w:tcPr>
            <w:tcW w:w="6521" w:type="dxa"/>
          </w:tcPr>
          <w:p w14:paraId="7FC877A6" w14:textId="151EF564" w:rsidR="001C5471" w:rsidRPr="00D23252" w:rsidRDefault="00D23252" w:rsidP="00E067F0">
            <w:pPr>
              <w:jc w:val="both"/>
              <w:rPr>
                <w:lang w:val="hr-HR"/>
              </w:rPr>
            </w:pPr>
            <w:r>
              <w:rPr>
                <w:lang w:val="hr-HR"/>
              </w:rPr>
              <w:t>Pod „</w:t>
            </w:r>
            <w:r w:rsidRPr="00D23252">
              <w:rPr>
                <w:lang w:val="hr-HR"/>
              </w:rPr>
              <w:t>svi</w:t>
            </w:r>
            <w:r>
              <w:rPr>
                <w:lang w:val="hr-HR"/>
              </w:rPr>
              <w:t>h dionika“</w:t>
            </w:r>
            <w:r w:rsidRPr="00D23252">
              <w:rPr>
                <w:lang w:val="hr-HR"/>
              </w:rPr>
              <w:t xml:space="preserve"> misli se na svu zainteresiranu javnost koja želi sudjelovati u projektu. Potrebno je poziv za sudjelovanje javno objaviti (na mrežnim stranicama prijavitelja i partnera i/ili na mrežnim stranicama projekta i/ili društvenim mrežama i/ili plaćenim oglasima i/ili tisak) te temeljem javnog poziva uključiti svu zainteresiranu javnost.</w:t>
            </w:r>
          </w:p>
          <w:p w14:paraId="5BC9DF97" w14:textId="14DD1056" w:rsidR="00D23252" w:rsidRPr="008E7A64" w:rsidRDefault="00D23252" w:rsidP="00E067F0">
            <w:pPr>
              <w:jc w:val="both"/>
              <w:rPr>
                <w:rFonts w:ascii="Calibri" w:eastAsia="Calibri" w:hAnsi="Calibri" w:cs="Times New Roman"/>
                <w:lang w:val="hr-HR"/>
              </w:rPr>
            </w:pPr>
          </w:p>
        </w:tc>
      </w:tr>
      <w:tr w:rsidR="00D23252" w:rsidRPr="00485B59" w14:paraId="7ED5E91E" w14:textId="77777777" w:rsidTr="008D0113">
        <w:tc>
          <w:tcPr>
            <w:tcW w:w="568" w:type="dxa"/>
          </w:tcPr>
          <w:p w14:paraId="1B710B5E" w14:textId="6F5D10EB" w:rsidR="00D23252" w:rsidRDefault="00D23252" w:rsidP="00533173">
            <w:pPr>
              <w:jc w:val="center"/>
              <w:rPr>
                <w:lang w:val="hr-HR"/>
              </w:rPr>
            </w:pPr>
            <w:r>
              <w:rPr>
                <w:lang w:val="hr-HR"/>
              </w:rPr>
              <w:t>20.</w:t>
            </w:r>
          </w:p>
        </w:tc>
        <w:tc>
          <w:tcPr>
            <w:tcW w:w="6237" w:type="dxa"/>
          </w:tcPr>
          <w:p w14:paraId="2C34542E" w14:textId="3ADC7387" w:rsidR="00D23252" w:rsidRDefault="00C83EA6" w:rsidP="004C7021">
            <w:pPr>
              <w:jc w:val="both"/>
              <w:rPr>
                <w:rFonts w:ascii="Calibri" w:eastAsia="Calibri" w:hAnsi="Calibri" w:cs="Times New Roman"/>
                <w:lang w:val="hr-HR"/>
              </w:rPr>
            </w:pPr>
            <w:r w:rsidRPr="00C83EA6">
              <w:rPr>
                <w:rFonts w:ascii="Calibri" w:eastAsia="Calibri" w:hAnsi="Calibri" w:cs="Times New Roman"/>
                <w:lang w:val="hr-HR"/>
              </w:rPr>
              <w:t>Je li u</w:t>
            </w:r>
            <w:r w:rsidR="00247FBC">
              <w:rPr>
                <w:rFonts w:ascii="Calibri" w:eastAsia="Calibri" w:hAnsi="Calibri" w:cs="Times New Roman"/>
                <w:lang w:val="hr-HR"/>
              </w:rPr>
              <w:t xml:space="preserve"> fokusu Komponente 1 </w:t>
            </w:r>
            <w:r w:rsidRPr="00C83EA6">
              <w:rPr>
                <w:rFonts w:ascii="Calibri" w:eastAsia="Calibri" w:hAnsi="Calibri" w:cs="Times New Roman"/>
                <w:lang w:val="hr-HR"/>
              </w:rPr>
              <w:t>uspostavljanje nove mreže po određenom tematskom području ili je prihvatljivo i nadograđivati na već postojeću mrežu? Treba li se mreža oformiti i kao pravni entitet? </w:t>
            </w:r>
          </w:p>
          <w:p w14:paraId="5ACDDE21" w14:textId="6F01A071" w:rsidR="00247FBC" w:rsidRPr="00DB7494" w:rsidRDefault="00247FBC" w:rsidP="004C7021">
            <w:pPr>
              <w:jc w:val="both"/>
              <w:rPr>
                <w:rFonts w:ascii="Calibri" w:eastAsia="Calibri" w:hAnsi="Calibri" w:cs="Times New Roman"/>
                <w:lang w:val="hr-HR"/>
              </w:rPr>
            </w:pPr>
          </w:p>
        </w:tc>
        <w:tc>
          <w:tcPr>
            <w:tcW w:w="6521" w:type="dxa"/>
          </w:tcPr>
          <w:p w14:paraId="6ACFDF2B" w14:textId="70EE17C3" w:rsidR="00247FBC" w:rsidRPr="00247FBC" w:rsidRDefault="00247FBC" w:rsidP="00247FBC">
            <w:pPr>
              <w:jc w:val="both"/>
              <w:rPr>
                <w:lang w:val="hr-HR"/>
              </w:rPr>
            </w:pPr>
            <w:r>
              <w:rPr>
                <w:lang w:val="hr-HR"/>
              </w:rPr>
              <w:t xml:space="preserve">Obzirom da je Uputama za prijavitelje, točkom 1.4 </w:t>
            </w:r>
            <w:r w:rsidRPr="00247FBC">
              <w:rPr>
                <w:lang w:val="hr-HR"/>
              </w:rPr>
              <w:t>Svrha, cilj i ciljane skupine Poziva na dostavu projektnih prijedloga</w:t>
            </w:r>
            <w:r>
              <w:rPr>
                <w:lang w:val="hr-HR"/>
              </w:rPr>
              <w:t>,</w:t>
            </w:r>
            <w:r w:rsidRPr="00247FBC">
              <w:rPr>
                <w:i/>
                <w:lang w:val="hr-HR"/>
              </w:rPr>
              <w:t xml:space="preserve"> </w:t>
            </w:r>
            <w:r w:rsidRPr="00247FBC">
              <w:rPr>
                <w:lang w:val="hr-HR"/>
              </w:rPr>
              <w:t>za Komponentu 1</w:t>
            </w:r>
            <w:r w:rsidRPr="00247FBC">
              <w:rPr>
                <w:i/>
                <w:lang w:val="hr-HR"/>
              </w:rPr>
              <w:t xml:space="preserve"> </w:t>
            </w:r>
            <w:r w:rsidRPr="00247FBC">
              <w:rPr>
                <w:lang w:val="hr-HR"/>
              </w:rPr>
              <w:t xml:space="preserve">istaknuto da </w:t>
            </w:r>
            <w:r w:rsidR="004D5C73">
              <w:rPr>
                <w:lang w:val="hr-HR"/>
              </w:rPr>
              <w:t>„</w:t>
            </w:r>
            <w:r w:rsidRPr="004D5C73">
              <w:rPr>
                <w:lang w:val="hr-HR"/>
              </w:rPr>
              <w:t xml:space="preserve">Organizacije uključene u tematske mreže trebaju tijekom zajedničkog rada </w:t>
            </w:r>
            <w:r w:rsidRPr="004D5C73">
              <w:rPr>
                <w:u w:val="single"/>
                <w:lang w:val="hr-HR"/>
              </w:rPr>
              <w:t>izraditi model</w:t>
            </w:r>
            <w:r w:rsidRPr="004D5C73">
              <w:rPr>
                <w:lang w:val="hr-HR"/>
              </w:rPr>
              <w:t xml:space="preserve"> svog djelovanja koji se treba temeljiti na demokratskom, odgovornom, </w:t>
            </w:r>
            <w:proofErr w:type="spellStart"/>
            <w:r w:rsidRPr="004D5C73">
              <w:rPr>
                <w:lang w:val="hr-HR"/>
              </w:rPr>
              <w:t>uključivom</w:t>
            </w:r>
            <w:proofErr w:type="spellEnd"/>
            <w:r w:rsidRPr="004D5C73">
              <w:rPr>
                <w:lang w:val="hr-HR"/>
              </w:rPr>
              <w:t>, javnom načinu su-upravljanja svim aktivnostima i procesima unutar tematske mreže, a kao odraz osviještenih potreba društvenog i ekonomskog razvoja</w:t>
            </w:r>
            <w:r w:rsidR="00315FA3">
              <w:rPr>
                <w:lang w:val="hr-HR"/>
              </w:rPr>
              <w:t xml:space="preserve"> u Hrvatskoj, ali i na razini Europske unije</w:t>
            </w:r>
            <w:r w:rsidR="004D5C73">
              <w:rPr>
                <w:lang w:val="hr-HR"/>
              </w:rPr>
              <w:t>“</w:t>
            </w:r>
            <w:r w:rsidRPr="00247FBC">
              <w:rPr>
                <w:lang w:val="hr-HR"/>
              </w:rPr>
              <w:t>, proizlazi da</w:t>
            </w:r>
            <w:r w:rsidR="001F6CF8">
              <w:rPr>
                <w:lang w:val="hr-HR"/>
              </w:rPr>
              <w:t xml:space="preserve"> je</w:t>
            </w:r>
            <w:r w:rsidRPr="00247FBC">
              <w:rPr>
                <w:lang w:val="hr-HR"/>
              </w:rPr>
              <w:t xml:space="preserve"> svrha ovog Poziva upravo uspostavljanje novih tematskih mreža za svako od navedenih  tematskih područja.</w:t>
            </w:r>
          </w:p>
          <w:p w14:paraId="26CF6EAF" w14:textId="77777777" w:rsidR="00D23252" w:rsidRDefault="00D23252" w:rsidP="00E067F0">
            <w:pPr>
              <w:jc w:val="both"/>
              <w:rPr>
                <w:lang w:val="hr-HR"/>
              </w:rPr>
            </w:pPr>
          </w:p>
        </w:tc>
      </w:tr>
      <w:tr w:rsidR="001F6CF8" w:rsidRPr="00485B59" w14:paraId="48413102" w14:textId="77777777" w:rsidTr="008D0113">
        <w:tc>
          <w:tcPr>
            <w:tcW w:w="568" w:type="dxa"/>
          </w:tcPr>
          <w:p w14:paraId="4F1EF982" w14:textId="0801F1B2" w:rsidR="001F6CF8" w:rsidRDefault="001F6CF8" w:rsidP="00533173">
            <w:pPr>
              <w:jc w:val="center"/>
              <w:rPr>
                <w:lang w:val="hr-HR"/>
              </w:rPr>
            </w:pPr>
            <w:r>
              <w:rPr>
                <w:lang w:val="hr-HR"/>
              </w:rPr>
              <w:t>21.</w:t>
            </w:r>
          </w:p>
        </w:tc>
        <w:tc>
          <w:tcPr>
            <w:tcW w:w="6237" w:type="dxa"/>
          </w:tcPr>
          <w:p w14:paraId="026ECEBC" w14:textId="0A463814" w:rsidR="004517EB" w:rsidRPr="004517EB" w:rsidRDefault="004517EB" w:rsidP="004517EB">
            <w:pPr>
              <w:jc w:val="both"/>
              <w:rPr>
                <w:rFonts w:ascii="Calibri" w:eastAsia="Calibri" w:hAnsi="Calibri" w:cs="Times New Roman"/>
                <w:bCs/>
                <w:lang w:val="hr-HR"/>
              </w:rPr>
            </w:pPr>
            <w:r>
              <w:rPr>
                <w:rFonts w:ascii="Calibri" w:eastAsia="Calibri" w:hAnsi="Calibri" w:cs="Times New Roman"/>
                <w:bCs/>
                <w:lang w:val="hr-HR"/>
              </w:rPr>
              <w:t>Skrećemo</w:t>
            </w:r>
            <w:r w:rsidRPr="004517EB">
              <w:rPr>
                <w:rFonts w:ascii="Calibri" w:eastAsia="Calibri" w:hAnsi="Calibri" w:cs="Times New Roman"/>
                <w:bCs/>
                <w:lang w:val="hr-HR"/>
              </w:rPr>
              <w:t xml:space="preserve"> pažnju na izostavljanje zadruga, jednog od najčešćih pravnih oblika društvenih poduzeća</w:t>
            </w:r>
            <w:r>
              <w:rPr>
                <w:rFonts w:ascii="Calibri" w:eastAsia="Calibri" w:hAnsi="Calibri" w:cs="Times New Roman"/>
                <w:bCs/>
                <w:lang w:val="hr-HR"/>
              </w:rPr>
              <w:t xml:space="preserve">, te predlažemo </w:t>
            </w:r>
            <w:r w:rsidRPr="004517EB">
              <w:rPr>
                <w:rFonts w:ascii="Calibri" w:eastAsia="Calibri" w:hAnsi="Calibri" w:cs="Times New Roman"/>
                <w:bCs/>
                <w:lang w:val="hr-HR"/>
              </w:rPr>
              <w:t>da se zadruge u</w:t>
            </w:r>
            <w:r>
              <w:rPr>
                <w:rFonts w:ascii="Calibri" w:eastAsia="Calibri" w:hAnsi="Calibri" w:cs="Times New Roman"/>
                <w:bCs/>
                <w:lang w:val="hr-HR"/>
              </w:rPr>
              <w:t>vrste pod prihvatljive partnere u ovom Pozivu.</w:t>
            </w:r>
            <w:r w:rsidRPr="004517EB">
              <w:rPr>
                <w:rFonts w:ascii="Calibri" w:eastAsia="Calibri" w:hAnsi="Calibri" w:cs="Times New Roman"/>
                <w:bCs/>
                <w:lang w:val="hr-HR"/>
              </w:rPr>
              <w:t xml:space="preserve"> </w:t>
            </w:r>
            <w:r w:rsidRPr="004517EB">
              <w:rPr>
                <w:rFonts w:ascii="Calibri" w:eastAsia="Calibri" w:hAnsi="Calibri" w:cs="Times New Roman"/>
                <w:lang w:val="hr-HR"/>
              </w:rPr>
              <w:t>Zadruge, po svom konceptu, jesu ključni nosioci društvene ekonomije i kao takve važan partner</w:t>
            </w:r>
            <w:r w:rsidRPr="004517EB">
              <w:rPr>
                <w:rFonts w:ascii="Calibri" w:eastAsia="Calibri" w:hAnsi="Calibri" w:cs="Times New Roman"/>
                <w:bCs/>
                <w:lang w:val="hr-HR"/>
              </w:rPr>
              <w:t xml:space="preserve"> </w:t>
            </w:r>
            <w:r w:rsidRPr="004517EB">
              <w:rPr>
                <w:rFonts w:ascii="Calibri" w:eastAsia="Calibri" w:hAnsi="Calibri" w:cs="Times New Roman"/>
                <w:lang w:val="hr-HR"/>
              </w:rPr>
              <w:t>u tematskim mrežama i spona među drugim</w:t>
            </w:r>
            <w:r>
              <w:rPr>
                <w:rFonts w:ascii="Calibri" w:eastAsia="Calibri" w:hAnsi="Calibri" w:cs="Times New Roman"/>
                <w:lang w:val="hr-HR"/>
              </w:rPr>
              <w:t xml:space="preserve"> prijaviteljima. Tematski fond „</w:t>
            </w:r>
            <w:r w:rsidRPr="004517EB">
              <w:rPr>
                <w:rFonts w:ascii="Calibri" w:eastAsia="Calibri" w:hAnsi="Calibri" w:cs="Times New Roman"/>
                <w:lang w:val="hr-HR"/>
              </w:rPr>
              <w:t>Demokratizacija i</w:t>
            </w:r>
            <w:r w:rsidRPr="004517EB">
              <w:rPr>
                <w:rFonts w:ascii="Calibri" w:eastAsia="Calibri" w:hAnsi="Calibri" w:cs="Times New Roman"/>
                <w:bCs/>
                <w:lang w:val="hr-HR"/>
              </w:rPr>
              <w:t xml:space="preserve"> </w:t>
            </w:r>
            <w:r>
              <w:rPr>
                <w:rFonts w:ascii="Calibri" w:eastAsia="Calibri" w:hAnsi="Calibri" w:cs="Times New Roman"/>
                <w:lang w:val="hr-HR"/>
              </w:rPr>
              <w:t>razvoj civilnoga društva 2.0“</w:t>
            </w:r>
            <w:r w:rsidRPr="004517EB">
              <w:rPr>
                <w:rFonts w:ascii="Calibri" w:eastAsia="Calibri" w:hAnsi="Calibri" w:cs="Times New Roman"/>
                <w:lang w:val="hr-HR"/>
              </w:rPr>
              <w:t xml:space="preserve"> koji je prethodio ovom programu u velikoj se mjeri upravo oslanjao i</w:t>
            </w:r>
            <w:r w:rsidRPr="004517EB">
              <w:rPr>
                <w:rFonts w:ascii="Calibri" w:eastAsia="Calibri" w:hAnsi="Calibri" w:cs="Times New Roman"/>
                <w:bCs/>
                <w:lang w:val="hr-HR"/>
              </w:rPr>
              <w:t xml:space="preserve"> </w:t>
            </w:r>
            <w:r w:rsidRPr="004517EB">
              <w:rPr>
                <w:rFonts w:ascii="Calibri" w:eastAsia="Calibri" w:hAnsi="Calibri" w:cs="Times New Roman"/>
                <w:lang w:val="hr-HR"/>
              </w:rPr>
              <w:t>davao podršku radu zadruga.</w:t>
            </w:r>
            <w:r>
              <w:rPr>
                <w:rFonts w:ascii="Calibri" w:eastAsia="Calibri" w:hAnsi="Calibri" w:cs="Times New Roman"/>
                <w:bCs/>
                <w:lang w:val="hr-HR"/>
              </w:rPr>
              <w:t xml:space="preserve"> </w:t>
            </w:r>
            <w:r w:rsidRPr="004517EB">
              <w:rPr>
                <w:rFonts w:ascii="Calibri" w:eastAsia="Calibri" w:hAnsi="Calibri" w:cs="Times New Roman"/>
                <w:lang w:val="hr-HR"/>
              </w:rPr>
              <w:t xml:space="preserve">Zadruge svoje djelovanje temelje na međusektorskoj suradnji i djeluju po principu platformi, odnosno tematskih mreža. Izostavljanje zadruga iz </w:t>
            </w:r>
            <w:r w:rsidR="0078793A">
              <w:rPr>
                <w:rFonts w:ascii="Calibri" w:eastAsia="Calibri" w:hAnsi="Calibri" w:cs="Times New Roman"/>
                <w:lang w:val="hr-HR"/>
              </w:rPr>
              <w:t>ovog natječaja</w:t>
            </w:r>
            <w:r w:rsidRPr="004517EB">
              <w:rPr>
                <w:rFonts w:ascii="Calibri" w:eastAsia="Calibri" w:hAnsi="Calibri" w:cs="Times New Roman"/>
                <w:lang w:val="hr-HR"/>
              </w:rPr>
              <w:t xml:space="preserve"> ne stavlja samo zadruge u nepovoljan položaj već i smanjuje ukupnu korist koja može nastati iz same međusektorske suradnje i društve</w:t>
            </w:r>
            <w:r>
              <w:rPr>
                <w:rFonts w:ascii="Calibri" w:eastAsia="Calibri" w:hAnsi="Calibri" w:cs="Times New Roman"/>
                <w:lang w:val="hr-HR"/>
              </w:rPr>
              <w:t>no-ekonomskog razvoja, koja se P</w:t>
            </w:r>
            <w:r w:rsidRPr="004517EB">
              <w:rPr>
                <w:rFonts w:ascii="Calibri" w:eastAsia="Calibri" w:hAnsi="Calibri" w:cs="Times New Roman"/>
                <w:lang w:val="hr-HR"/>
              </w:rPr>
              <w:t xml:space="preserve">ozivom </w:t>
            </w:r>
            <w:r w:rsidRPr="004517EB">
              <w:rPr>
                <w:rFonts w:ascii="Calibri" w:eastAsia="Calibri" w:hAnsi="Calibri" w:cs="Times New Roman"/>
                <w:lang w:val="hr-HR"/>
              </w:rPr>
              <w:lastRenderedPageBreak/>
              <w:t>promovira.</w:t>
            </w:r>
            <w:r>
              <w:rPr>
                <w:rFonts w:ascii="Calibri" w:eastAsia="Calibri" w:hAnsi="Calibri" w:cs="Times New Roman"/>
                <w:bCs/>
                <w:lang w:val="hr-HR"/>
              </w:rPr>
              <w:t xml:space="preserve"> </w:t>
            </w:r>
            <w:r w:rsidRPr="004517EB">
              <w:rPr>
                <w:rFonts w:ascii="Calibri" w:eastAsia="Calibri" w:hAnsi="Calibri" w:cs="Times New Roman"/>
                <w:bCs/>
                <w:lang w:val="hr-HR"/>
              </w:rPr>
              <w:t xml:space="preserve">Slijedom navedenoga, </w:t>
            </w:r>
            <w:r>
              <w:rPr>
                <w:rFonts w:ascii="Calibri" w:eastAsia="Calibri" w:hAnsi="Calibri" w:cs="Times New Roman"/>
                <w:bCs/>
                <w:lang w:val="hr-HR"/>
              </w:rPr>
              <w:t>predlažemo</w:t>
            </w:r>
            <w:r w:rsidRPr="004517EB">
              <w:rPr>
                <w:rFonts w:ascii="Calibri" w:eastAsia="Calibri" w:hAnsi="Calibri" w:cs="Times New Roman"/>
                <w:bCs/>
                <w:lang w:val="hr-HR"/>
              </w:rPr>
              <w:t xml:space="preserve"> da zadr</w:t>
            </w:r>
            <w:r>
              <w:rPr>
                <w:rFonts w:ascii="Calibri" w:eastAsia="Calibri" w:hAnsi="Calibri" w:cs="Times New Roman"/>
                <w:bCs/>
                <w:lang w:val="hr-HR"/>
              </w:rPr>
              <w:t>uge budu prihvatljiv partner u P</w:t>
            </w:r>
            <w:r w:rsidRPr="004517EB">
              <w:rPr>
                <w:rFonts w:ascii="Calibri" w:eastAsia="Calibri" w:hAnsi="Calibri" w:cs="Times New Roman"/>
                <w:bCs/>
                <w:lang w:val="hr-HR"/>
              </w:rPr>
              <w:t>ozivu (najviše tri po tematskoj mreži) bez raspodjele financijskih sredstava.</w:t>
            </w:r>
          </w:p>
          <w:p w14:paraId="7256E03E" w14:textId="77777777" w:rsidR="001F6CF8" w:rsidRPr="00C83EA6" w:rsidRDefault="001F6CF8" w:rsidP="004C7021">
            <w:pPr>
              <w:jc w:val="both"/>
              <w:rPr>
                <w:rFonts w:ascii="Calibri" w:eastAsia="Calibri" w:hAnsi="Calibri" w:cs="Times New Roman"/>
                <w:lang w:val="hr-HR"/>
              </w:rPr>
            </w:pPr>
          </w:p>
        </w:tc>
        <w:tc>
          <w:tcPr>
            <w:tcW w:w="6521" w:type="dxa"/>
          </w:tcPr>
          <w:p w14:paraId="09E59992" w14:textId="4C4989C6" w:rsidR="001F6CF8" w:rsidRPr="00C576B2" w:rsidRDefault="00C576B2" w:rsidP="00C576B2">
            <w:pPr>
              <w:jc w:val="both"/>
              <w:rPr>
                <w:lang w:val="hr-HR"/>
              </w:rPr>
            </w:pPr>
            <w:r w:rsidRPr="00C576B2">
              <w:rPr>
                <w:lang w:val="hr-HR"/>
              </w:rPr>
              <w:lastRenderedPageBreak/>
              <w:t>Upućujemo na izmjenu natječajne dokumentacije.</w:t>
            </w:r>
          </w:p>
        </w:tc>
      </w:tr>
      <w:tr w:rsidR="00C576B2" w:rsidRPr="00485B59" w14:paraId="0D66828B" w14:textId="77777777" w:rsidTr="008D0113">
        <w:tc>
          <w:tcPr>
            <w:tcW w:w="568" w:type="dxa"/>
          </w:tcPr>
          <w:p w14:paraId="3299B40E" w14:textId="30AAB9CE" w:rsidR="00C576B2" w:rsidRDefault="00C576B2" w:rsidP="00533173">
            <w:pPr>
              <w:jc w:val="center"/>
              <w:rPr>
                <w:lang w:val="hr-HR"/>
              </w:rPr>
            </w:pPr>
            <w:r>
              <w:rPr>
                <w:lang w:val="hr-HR"/>
              </w:rPr>
              <w:lastRenderedPageBreak/>
              <w:t>22.</w:t>
            </w:r>
          </w:p>
        </w:tc>
        <w:tc>
          <w:tcPr>
            <w:tcW w:w="6237" w:type="dxa"/>
          </w:tcPr>
          <w:p w14:paraId="3C448CDE" w14:textId="5FA76440" w:rsidR="00693B58" w:rsidRPr="00693B58" w:rsidRDefault="00693B58" w:rsidP="00693B58">
            <w:pPr>
              <w:jc w:val="both"/>
              <w:rPr>
                <w:rFonts w:ascii="Calibri" w:eastAsia="Calibri" w:hAnsi="Calibri" w:cs="Times New Roman"/>
                <w:bCs/>
                <w:lang w:val="hr-HR"/>
              </w:rPr>
            </w:pPr>
            <w:r>
              <w:rPr>
                <w:rFonts w:ascii="Calibri" w:eastAsia="Calibri" w:hAnsi="Calibri" w:cs="Times New Roman"/>
                <w:bCs/>
                <w:lang w:val="hr-HR"/>
              </w:rPr>
              <w:t>Vezano uz S</w:t>
            </w:r>
            <w:r w:rsidRPr="00693B58">
              <w:rPr>
                <w:rFonts w:ascii="Calibri" w:eastAsia="Calibri" w:hAnsi="Calibri" w:cs="Times New Roman"/>
                <w:bCs/>
                <w:lang w:val="hr-HR"/>
              </w:rPr>
              <w:t>pecifični pokazatelj „Broj provedenih znanstvenih istraživanja“, napominjemo da je dva puta naveden. Molimo vas pojašnjenje što će se brojiti kao znanstveno istraživanje? Na koji način je operacionaliziran pojam znanstvenog istraživanja? Primjera radi, hoće li se brojiti istraživanja po broju istraživačkih izvještaja? Hoće li se više tema istraživanja (npr. upitnika) provedenih na istom uzorku brojati kao jedno ili više istraživanja?</w:t>
            </w:r>
          </w:p>
          <w:p w14:paraId="4D9D4099" w14:textId="448316F7" w:rsidR="00C576B2" w:rsidRDefault="00693B58" w:rsidP="00693B58">
            <w:pPr>
              <w:jc w:val="both"/>
              <w:rPr>
                <w:rFonts w:ascii="Calibri" w:eastAsia="Calibri" w:hAnsi="Calibri" w:cs="Times New Roman"/>
                <w:bCs/>
                <w:lang w:val="hr-HR"/>
              </w:rPr>
            </w:pPr>
            <w:r>
              <w:rPr>
                <w:rFonts w:ascii="Calibri" w:eastAsia="Calibri" w:hAnsi="Calibri" w:cs="Times New Roman"/>
                <w:bCs/>
                <w:lang w:val="hr-HR"/>
              </w:rPr>
              <w:t xml:space="preserve"> </w:t>
            </w:r>
          </w:p>
        </w:tc>
        <w:tc>
          <w:tcPr>
            <w:tcW w:w="6521" w:type="dxa"/>
          </w:tcPr>
          <w:p w14:paraId="24C3FA50" w14:textId="3A7DB0CD" w:rsidR="00C576B2" w:rsidRPr="00C576B2" w:rsidRDefault="00693B58" w:rsidP="00C576B2">
            <w:pPr>
              <w:jc w:val="both"/>
              <w:rPr>
                <w:lang w:val="hr-HR"/>
              </w:rPr>
            </w:pPr>
            <w:r w:rsidRPr="00693B58">
              <w:rPr>
                <w:rFonts w:ascii="Calibri" w:eastAsia="Calibri" w:hAnsi="Calibri" w:cs="Times New Roman"/>
                <w:lang w:val="hr-HR"/>
              </w:rPr>
              <w:t>Isto je utvrđeno izmjenom natječajne dokumentacije.</w:t>
            </w:r>
          </w:p>
        </w:tc>
      </w:tr>
      <w:tr w:rsidR="00693B58" w:rsidRPr="00485B59" w14:paraId="5D81613A" w14:textId="77777777" w:rsidTr="008D0113">
        <w:tc>
          <w:tcPr>
            <w:tcW w:w="568" w:type="dxa"/>
          </w:tcPr>
          <w:p w14:paraId="011F9614" w14:textId="477BCC08" w:rsidR="00693B58" w:rsidRDefault="00693B58" w:rsidP="00533173">
            <w:pPr>
              <w:jc w:val="center"/>
              <w:rPr>
                <w:lang w:val="hr-HR"/>
              </w:rPr>
            </w:pPr>
            <w:r>
              <w:rPr>
                <w:lang w:val="hr-HR"/>
              </w:rPr>
              <w:t>23.</w:t>
            </w:r>
          </w:p>
        </w:tc>
        <w:tc>
          <w:tcPr>
            <w:tcW w:w="6237" w:type="dxa"/>
          </w:tcPr>
          <w:p w14:paraId="5EDC8FC4" w14:textId="370878F2" w:rsidR="00693B58" w:rsidRDefault="00693B58" w:rsidP="00693B58">
            <w:pPr>
              <w:jc w:val="both"/>
              <w:rPr>
                <w:rFonts w:ascii="Calibri" w:eastAsia="Calibri" w:hAnsi="Calibri" w:cs="Times New Roman"/>
                <w:bCs/>
                <w:lang w:val="hr-HR"/>
              </w:rPr>
            </w:pPr>
            <w:r>
              <w:rPr>
                <w:rFonts w:ascii="Calibri" w:eastAsia="Calibri" w:hAnsi="Calibri" w:cs="Times New Roman"/>
                <w:bCs/>
                <w:lang w:val="hr-HR"/>
              </w:rPr>
              <w:t>Vezano uz S</w:t>
            </w:r>
            <w:r w:rsidRPr="00693B58">
              <w:rPr>
                <w:rFonts w:ascii="Calibri" w:eastAsia="Calibri" w:hAnsi="Calibri" w:cs="Times New Roman"/>
                <w:bCs/>
                <w:lang w:val="hr-HR"/>
              </w:rPr>
              <w:t>pecifični pokazatelj „Broj provedenih ispitivanja javnog m</w:t>
            </w:r>
            <w:r>
              <w:rPr>
                <w:rFonts w:ascii="Calibri" w:eastAsia="Calibri" w:hAnsi="Calibri" w:cs="Times New Roman"/>
                <w:bCs/>
                <w:lang w:val="hr-HR"/>
              </w:rPr>
              <w:t>n</w:t>
            </w:r>
            <w:r w:rsidR="00674A6B">
              <w:rPr>
                <w:rFonts w:ascii="Calibri" w:eastAsia="Calibri" w:hAnsi="Calibri" w:cs="Times New Roman"/>
                <w:bCs/>
                <w:lang w:val="hr-HR"/>
              </w:rPr>
              <w:t>ijenja i potreba društva“,</w:t>
            </w:r>
            <w:r w:rsidRPr="00693B58">
              <w:rPr>
                <w:rFonts w:ascii="Calibri" w:eastAsia="Calibri" w:hAnsi="Calibri" w:cs="Times New Roman"/>
                <w:b/>
                <w:bCs/>
                <w:lang w:val="hr-HR"/>
              </w:rPr>
              <w:t xml:space="preserve"> </w:t>
            </w:r>
            <w:r w:rsidRPr="00693B58">
              <w:rPr>
                <w:rFonts w:ascii="Calibri" w:eastAsia="Calibri" w:hAnsi="Calibri" w:cs="Times New Roman"/>
                <w:bCs/>
                <w:lang w:val="hr-HR"/>
              </w:rPr>
              <w:t xml:space="preserve">čini nam se važnim istaknuti da se istraživanje javnog mijenja na reprezentativnom uzorku i </w:t>
            </w:r>
            <w:proofErr w:type="spellStart"/>
            <w:r w:rsidRPr="00693B58">
              <w:rPr>
                <w:rFonts w:ascii="Calibri" w:eastAsia="Calibri" w:hAnsi="Calibri" w:cs="Times New Roman"/>
                <w:bCs/>
                <w:i/>
                <w:iCs/>
                <w:lang w:val="hr-HR"/>
              </w:rPr>
              <w:t>vox</w:t>
            </w:r>
            <w:proofErr w:type="spellEnd"/>
            <w:r w:rsidRPr="00693B58">
              <w:rPr>
                <w:rFonts w:ascii="Calibri" w:eastAsia="Calibri" w:hAnsi="Calibri" w:cs="Times New Roman"/>
                <w:bCs/>
                <w:i/>
                <w:iCs/>
                <w:lang w:val="hr-HR"/>
              </w:rPr>
              <w:t xml:space="preserve"> </w:t>
            </w:r>
            <w:proofErr w:type="spellStart"/>
            <w:r w:rsidRPr="00693B58">
              <w:rPr>
                <w:rFonts w:ascii="Calibri" w:eastAsia="Calibri" w:hAnsi="Calibri" w:cs="Times New Roman"/>
                <w:bCs/>
                <w:i/>
                <w:iCs/>
                <w:lang w:val="hr-HR"/>
              </w:rPr>
              <w:t>populi</w:t>
            </w:r>
            <w:proofErr w:type="spellEnd"/>
            <w:r w:rsidRPr="00693B58">
              <w:rPr>
                <w:rFonts w:ascii="Calibri" w:eastAsia="Calibri" w:hAnsi="Calibri" w:cs="Times New Roman"/>
                <w:bCs/>
                <w:lang w:val="hr-HR"/>
              </w:rPr>
              <w:t xml:space="preserve"> mogu smatrati istraživanjima javnog m</w:t>
            </w:r>
            <w:r>
              <w:rPr>
                <w:rFonts w:ascii="Calibri" w:eastAsia="Calibri" w:hAnsi="Calibri" w:cs="Times New Roman"/>
                <w:bCs/>
                <w:lang w:val="hr-HR"/>
              </w:rPr>
              <w:t>n</w:t>
            </w:r>
            <w:r w:rsidRPr="00693B58">
              <w:rPr>
                <w:rFonts w:ascii="Calibri" w:eastAsia="Calibri" w:hAnsi="Calibri" w:cs="Times New Roman"/>
                <w:bCs/>
                <w:lang w:val="hr-HR"/>
              </w:rPr>
              <w:t>ijenja, stoga pokazatelj nije dovoljno jasan. Nadalje, istraživanje javnog m</w:t>
            </w:r>
            <w:r>
              <w:rPr>
                <w:rFonts w:ascii="Calibri" w:eastAsia="Calibri" w:hAnsi="Calibri" w:cs="Times New Roman"/>
                <w:bCs/>
                <w:lang w:val="hr-HR"/>
              </w:rPr>
              <w:t>n</w:t>
            </w:r>
            <w:r w:rsidRPr="00693B58">
              <w:rPr>
                <w:rFonts w:ascii="Calibri" w:eastAsia="Calibri" w:hAnsi="Calibri" w:cs="Times New Roman"/>
                <w:bCs/>
                <w:lang w:val="hr-HR"/>
              </w:rPr>
              <w:t>ijenja na reprezentativnom uzorku je znanstveno istraživanje kao i manja kvalitativna istraživanja, zbog čega može doći do preklapanja ovog kriterija s prethodnim.</w:t>
            </w:r>
          </w:p>
          <w:p w14:paraId="33CD30F8" w14:textId="3DFAF02C" w:rsidR="00693B58" w:rsidRDefault="00693B58" w:rsidP="00693B58">
            <w:pPr>
              <w:jc w:val="both"/>
              <w:rPr>
                <w:rFonts w:ascii="Calibri" w:eastAsia="Calibri" w:hAnsi="Calibri" w:cs="Times New Roman"/>
                <w:bCs/>
                <w:lang w:val="hr-HR"/>
              </w:rPr>
            </w:pPr>
          </w:p>
        </w:tc>
        <w:tc>
          <w:tcPr>
            <w:tcW w:w="6521" w:type="dxa"/>
          </w:tcPr>
          <w:p w14:paraId="61DC5A4F" w14:textId="272C0088" w:rsidR="00693B58" w:rsidRPr="00693B58" w:rsidRDefault="007B3E5F" w:rsidP="00C576B2">
            <w:pPr>
              <w:jc w:val="both"/>
              <w:rPr>
                <w:rFonts w:ascii="Calibri" w:eastAsia="Calibri" w:hAnsi="Calibri" w:cs="Times New Roman"/>
                <w:lang w:val="hr-HR"/>
              </w:rPr>
            </w:pPr>
            <w:r w:rsidRPr="007B3E5F">
              <w:rPr>
                <w:rFonts w:ascii="Calibri" w:eastAsia="Calibri" w:hAnsi="Calibri" w:cs="Times New Roman"/>
                <w:lang w:val="hr-HR"/>
              </w:rPr>
              <w:t>Znanstveno istraživanje i istraživanje javnog mnijenja nije istovjetni postupak.</w:t>
            </w:r>
          </w:p>
        </w:tc>
      </w:tr>
      <w:tr w:rsidR="007B3E5F" w:rsidRPr="00485B59" w14:paraId="7776C201" w14:textId="77777777" w:rsidTr="008D0113">
        <w:tc>
          <w:tcPr>
            <w:tcW w:w="568" w:type="dxa"/>
          </w:tcPr>
          <w:p w14:paraId="4C30BB40" w14:textId="21FD8F42" w:rsidR="007B3E5F" w:rsidRDefault="007B3E5F" w:rsidP="00533173">
            <w:pPr>
              <w:jc w:val="center"/>
              <w:rPr>
                <w:lang w:val="hr-HR"/>
              </w:rPr>
            </w:pPr>
            <w:r>
              <w:rPr>
                <w:lang w:val="hr-HR"/>
              </w:rPr>
              <w:t>24.</w:t>
            </w:r>
          </w:p>
        </w:tc>
        <w:tc>
          <w:tcPr>
            <w:tcW w:w="6237" w:type="dxa"/>
          </w:tcPr>
          <w:p w14:paraId="048C75F9" w14:textId="2CABD109" w:rsidR="00674A6B" w:rsidRPr="00674A6B" w:rsidRDefault="00CC09FC" w:rsidP="00693B58">
            <w:pPr>
              <w:jc w:val="both"/>
              <w:rPr>
                <w:bCs/>
                <w:lang w:val="hr-HR"/>
              </w:rPr>
            </w:pPr>
            <w:r>
              <w:rPr>
                <w:bCs/>
                <w:lang w:val="hr-HR"/>
              </w:rPr>
              <w:t>Vezano uz S</w:t>
            </w:r>
            <w:r w:rsidR="007223C1" w:rsidRPr="007223C1">
              <w:rPr>
                <w:bCs/>
                <w:lang w:val="hr-HR"/>
              </w:rPr>
              <w:t>pecifični pokazatelj „Broj objavljenih znanstvenih članaka“, sami prijavitelji ne mogu utjecati na to hoće li predani članci biti i objavljeni u roku u nekom znanstvenom časopisu. Stoga vas molimo za pojašnjenje: hoće li se samo objave članaka smatrati ostvarenjem pokazatelja ili će to biti i predaje članaka za objavu, te kakav će se tip časopisa smatrati prihvatljivim? Također, u pokazatelju se spominju samo znanstveni članci. Budući da su upravo stručni članci važni za javne politike utemeljene na dokazima i za širenje znanja, hoće li se kao ostvarenje ovog pokazatelja smatrati i izrada i objava stručnih članaka? Napominjemo da i znanstveni i stručni članci mogu biti objavljivani u istim časopisima i proći isti postupak recenzije.</w:t>
            </w:r>
          </w:p>
        </w:tc>
        <w:tc>
          <w:tcPr>
            <w:tcW w:w="6521" w:type="dxa"/>
          </w:tcPr>
          <w:p w14:paraId="1B967E44" w14:textId="722CEFAB" w:rsidR="007B3E5F" w:rsidRPr="007B3E5F" w:rsidRDefault="007438AA" w:rsidP="00C576B2">
            <w:pPr>
              <w:jc w:val="both"/>
              <w:rPr>
                <w:rFonts w:ascii="Calibri" w:eastAsia="Calibri" w:hAnsi="Calibri" w:cs="Times New Roman"/>
                <w:lang w:val="hr-HR"/>
              </w:rPr>
            </w:pPr>
            <w:r w:rsidRPr="007438AA">
              <w:rPr>
                <w:rFonts w:ascii="Calibri" w:eastAsia="Calibri" w:hAnsi="Calibri" w:cs="Times New Roman"/>
                <w:lang w:val="hr-HR"/>
              </w:rPr>
              <w:t>Isto je utvrđeno izmjenom natječajne dokumentacije.</w:t>
            </w:r>
          </w:p>
        </w:tc>
      </w:tr>
      <w:tr w:rsidR="007438AA" w:rsidRPr="00485B59" w14:paraId="0A4E7F30" w14:textId="77777777" w:rsidTr="008D0113">
        <w:tc>
          <w:tcPr>
            <w:tcW w:w="568" w:type="dxa"/>
          </w:tcPr>
          <w:p w14:paraId="40809F54" w14:textId="00720DE9" w:rsidR="007438AA" w:rsidRDefault="007438AA" w:rsidP="00533173">
            <w:pPr>
              <w:jc w:val="center"/>
              <w:rPr>
                <w:lang w:val="hr-HR"/>
              </w:rPr>
            </w:pPr>
            <w:r>
              <w:rPr>
                <w:lang w:val="hr-HR"/>
              </w:rPr>
              <w:lastRenderedPageBreak/>
              <w:t>25.</w:t>
            </w:r>
          </w:p>
        </w:tc>
        <w:tc>
          <w:tcPr>
            <w:tcW w:w="6237" w:type="dxa"/>
          </w:tcPr>
          <w:p w14:paraId="05B1C254" w14:textId="4060DACB" w:rsidR="007438AA" w:rsidRPr="007438AA" w:rsidRDefault="007438AA" w:rsidP="007438AA">
            <w:pPr>
              <w:jc w:val="both"/>
              <w:rPr>
                <w:bCs/>
                <w:lang w:val="hr-HR"/>
              </w:rPr>
            </w:pPr>
            <w:r>
              <w:rPr>
                <w:bCs/>
                <w:lang w:val="hr-HR"/>
              </w:rPr>
              <w:t>Vezano uz S</w:t>
            </w:r>
            <w:r w:rsidRPr="007438AA">
              <w:rPr>
                <w:bCs/>
                <w:lang w:val="hr-HR"/>
              </w:rPr>
              <w:t>pecifični pokazatelj „Broj proveden</w:t>
            </w:r>
            <w:r w:rsidR="00400A64">
              <w:rPr>
                <w:bCs/>
                <w:lang w:val="hr-HR"/>
              </w:rPr>
              <w:t>ih analiza društvenog utjecaja“</w:t>
            </w:r>
            <w:r w:rsidRPr="007438AA">
              <w:rPr>
                <w:bCs/>
                <w:lang w:val="hr-HR"/>
              </w:rPr>
              <w:t xml:space="preserve"> molimo za dodatno pojašnjenje ovog pokazatelja. Naime, budući da će se intervencije prov</w:t>
            </w:r>
            <w:r w:rsidR="00B93F3B">
              <w:rPr>
                <w:bCs/>
                <w:lang w:val="hr-HR"/>
              </w:rPr>
              <w:t>oditi tijekom trajanja projekta</w:t>
            </w:r>
            <w:r w:rsidRPr="007438AA">
              <w:rPr>
                <w:bCs/>
                <w:lang w:val="hr-HR"/>
              </w:rPr>
              <w:t xml:space="preserve"> čini se teško dostižnim da se za to vrijeme uspije provesti i 6 analiza društvenog utjecaja za koje je optimalno imati neko vrijeme između intervencije da bi se mogao vidjeti utjecaj. Također, osim dvojbe oko vremena, pitanje je i hoće li se kao ostvarenje ovog pokazatelja uzimati evaluacijska istraživanja intervencija i koja je razina složenosti tih analiza potrebna.</w:t>
            </w:r>
          </w:p>
          <w:p w14:paraId="216D36E1" w14:textId="77777777" w:rsidR="007438AA" w:rsidRPr="007223C1" w:rsidRDefault="007438AA" w:rsidP="007223C1">
            <w:pPr>
              <w:jc w:val="both"/>
              <w:rPr>
                <w:bCs/>
                <w:lang w:val="hr-HR"/>
              </w:rPr>
            </w:pPr>
          </w:p>
        </w:tc>
        <w:tc>
          <w:tcPr>
            <w:tcW w:w="6521" w:type="dxa"/>
          </w:tcPr>
          <w:p w14:paraId="75DF15A6" w14:textId="5D033B3B" w:rsidR="007438AA" w:rsidRPr="00BA39FC" w:rsidRDefault="00BA39FC" w:rsidP="00C576B2">
            <w:pPr>
              <w:jc w:val="both"/>
              <w:rPr>
                <w:rFonts w:ascii="Calibri" w:eastAsia="Calibri" w:hAnsi="Calibri" w:cs="Times New Roman"/>
                <w:lang w:val="hr-HR"/>
              </w:rPr>
            </w:pPr>
            <w:r w:rsidRPr="00BA39FC">
              <w:rPr>
                <w:lang w:val="hr-HR"/>
              </w:rPr>
              <w:t>Izmjenom natječajne dokumentacije definirani su dokazi o ostvarenju pokazatelja.</w:t>
            </w:r>
          </w:p>
        </w:tc>
      </w:tr>
      <w:tr w:rsidR="00BA39FC" w:rsidRPr="00485B59" w14:paraId="114C324D" w14:textId="77777777" w:rsidTr="008D0113">
        <w:tc>
          <w:tcPr>
            <w:tcW w:w="568" w:type="dxa"/>
          </w:tcPr>
          <w:p w14:paraId="4121FB33" w14:textId="33326FB1" w:rsidR="00BA39FC" w:rsidRDefault="00BA39FC" w:rsidP="00533173">
            <w:pPr>
              <w:jc w:val="center"/>
              <w:rPr>
                <w:lang w:val="hr-HR"/>
              </w:rPr>
            </w:pPr>
            <w:r>
              <w:rPr>
                <w:lang w:val="hr-HR"/>
              </w:rPr>
              <w:t>26.</w:t>
            </w:r>
          </w:p>
        </w:tc>
        <w:tc>
          <w:tcPr>
            <w:tcW w:w="6237" w:type="dxa"/>
          </w:tcPr>
          <w:p w14:paraId="188D98A4" w14:textId="3F82D6B5" w:rsidR="00853FD0" w:rsidRPr="00853FD0" w:rsidRDefault="00853FD0" w:rsidP="00853FD0">
            <w:pPr>
              <w:jc w:val="both"/>
              <w:rPr>
                <w:bCs/>
                <w:lang w:val="hr-HR"/>
              </w:rPr>
            </w:pPr>
            <w:r w:rsidRPr="00853FD0">
              <w:rPr>
                <w:bCs/>
                <w:lang w:val="hr-HR"/>
              </w:rPr>
              <w:t>U natječajnoj dokumentaciji navedeno je da se organizacija može prijaviti jednom kao nositelj, a jednom kao partner. Može li se organizacija prijaviti i dva puta kao partner u dvije različite mreže, ako se ne prijavi kao nositelj?</w:t>
            </w:r>
            <w:r>
              <w:rPr>
                <w:bCs/>
                <w:lang w:val="hr-HR"/>
              </w:rPr>
              <w:t xml:space="preserve"> </w:t>
            </w:r>
            <w:r w:rsidRPr="00853FD0">
              <w:rPr>
                <w:bCs/>
                <w:lang w:val="hr-HR"/>
              </w:rPr>
              <w:t xml:space="preserve">Dodatno, odnosi li se to ograničenje i na istraživačke te visoko-obrazovne institucije? Naime, kod njih bi to ograničenje možda bilo vrlo teško primjenjivo, obzirom na broj i raznovrsnost odsjeka koji neke institucije imaju te njihov ukupan broj. </w:t>
            </w:r>
          </w:p>
          <w:p w14:paraId="4FAEA1FA" w14:textId="77777777" w:rsidR="00BA39FC" w:rsidRDefault="00BA39FC" w:rsidP="007438AA">
            <w:pPr>
              <w:jc w:val="both"/>
              <w:rPr>
                <w:bCs/>
                <w:lang w:val="hr-HR"/>
              </w:rPr>
            </w:pPr>
          </w:p>
        </w:tc>
        <w:tc>
          <w:tcPr>
            <w:tcW w:w="6521" w:type="dxa"/>
          </w:tcPr>
          <w:p w14:paraId="7988D47A" w14:textId="1C4449E7" w:rsidR="00BA39FC" w:rsidRPr="00BA39FC" w:rsidRDefault="00853FD0" w:rsidP="00C576B2">
            <w:pPr>
              <w:jc w:val="both"/>
              <w:rPr>
                <w:lang w:val="hr-HR"/>
              </w:rPr>
            </w:pPr>
            <w:r w:rsidRPr="00853FD0">
              <w:rPr>
                <w:lang w:val="hr-HR"/>
              </w:rPr>
              <w:t>Isto je utvrđeno izmjenom natječajne dokumentacije.</w:t>
            </w:r>
          </w:p>
        </w:tc>
      </w:tr>
      <w:tr w:rsidR="00853FD0" w:rsidRPr="00485B59" w14:paraId="3D2A511C" w14:textId="77777777" w:rsidTr="008D0113">
        <w:tc>
          <w:tcPr>
            <w:tcW w:w="568" w:type="dxa"/>
          </w:tcPr>
          <w:p w14:paraId="62883B78" w14:textId="1B767006" w:rsidR="00853FD0" w:rsidRDefault="00853FD0" w:rsidP="00533173">
            <w:pPr>
              <w:jc w:val="center"/>
              <w:rPr>
                <w:lang w:val="hr-HR"/>
              </w:rPr>
            </w:pPr>
            <w:r>
              <w:rPr>
                <w:lang w:val="hr-HR"/>
              </w:rPr>
              <w:t>27.</w:t>
            </w:r>
          </w:p>
        </w:tc>
        <w:tc>
          <w:tcPr>
            <w:tcW w:w="6237" w:type="dxa"/>
          </w:tcPr>
          <w:p w14:paraId="5B7D5C91" w14:textId="6F1017B4" w:rsidR="00CC09FC" w:rsidRPr="00CC09FC" w:rsidRDefault="00CC09FC" w:rsidP="00CC09FC">
            <w:pPr>
              <w:jc w:val="both"/>
              <w:rPr>
                <w:bCs/>
                <w:lang w:val="hr-HR"/>
              </w:rPr>
            </w:pPr>
            <w:r w:rsidRPr="00CC09FC">
              <w:rPr>
                <w:bCs/>
                <w:lang w:val="hr-HR"/>
              </w:rPr>
              <w:t>Mogu li partneri biti organizacije civilnog</w:t>
            </w:r>
            <w:r w:rsidR="00FB0C48">
              <w:rPr>
                <w:bCs/>
                <w:lang w:val="hr-HR"/>
              </w:rPr>
              <w:t>a</w:t>
            </w:r>
            <w:r w:rsidRPr="00CC09FC">
              <w:rPr>
                <w:bCs/>
                <w:lang w:val="hr-HR"/>
              </w:rPr>
              <w:t xml:space="preserve"> društva koje nisu udruge</w:t>
            </w:r>
            <w:r>
              <w:rPr>
                <w:bCs/>
                <w:lang w:val="hr-HR"/>
              </w:rPr>
              <w:t>,</w:t>
            </w:r>
            <w:r w:rsidRPr="00CC09FC">
              <w:rPr>
                <w:bCs/>
                <w:lang w:val="hr-HR"/>
              </w:rPr>
              <w:t xml:space="preserve"> već ustanove</w:t>
            </w:r>
            <w:r>
              <w:rPr>
                <w:bCs/>
                <w:lang w:val="hr-HR"/>
              </w:rPr>
              <w:t>,</w:t>
            </w:r>
            <w:r w:rsidRPr="00CC09FC">
              <w:rPr>
                <w:bCs/>
                <w:lang w:val="hr-HR"/>
              </w:rPr>
              <w:t xml:space="preserve"> i koje su osnovane prema Zakonu o ustanovama?</w:t>
            </w:r>
          </w:p>
          <w:p w14:paraId="1F5E4C9A" w14:textId="77777777" w:rsidR="00853FD0" w:rsidRPr="00853FD0" w:rsidRDefault="00853FD0" w:rsidP="00853FD0">
            <w:pPr>
              <w:jc w:val="both"/>
              <w:rPr>
                <w:bCs/>
                <w:lang w:val="hr-HR"/>
              </w:rPr>
            </w:pPr>
          </w:p>
        </w:tc>
        <w:tc>
          <w:tcPr>
            <w:tcW w:w="6521" w:type="dxa"/>
          </w:tcPr>
          <w:p w14:paraId="7FAD79E5" w14:textId="29B28CA2" w:rsidR="00853FD0" w:rsidRPr="00853FD0" w:rsidRDefault="003C3FA6" w:rsidP="00C576B2">
            <w:pPr>
              <w:jc w:val="both"/>
              <w:rPr>
                <w:lang w:val="hr-HR"/>
              </w:rPr>
            </w:pPr>
            <w:r>
              <w:rPr>
                <w:lang w:val="hr-HR"/>
              </w:rPr>
              <w:t>Isto je definirano točkom 2.2.2</w:t>
            </w:r>
            <w:r w:rsidR="00267034" w:rsidRPr="00267034">
              <w:rPr>
                <w:lang w:val="hr-HR"/>
              </w:rPr>
              <w:t xml:space="preserve"> Uputa za prijavitelje predmetnog Poziva.</w:t>
            </w:r>
            <w:bookmarkStart w:id="0" w:name="_GoBack"/>
            <w:bookmarkEnd w:id="0"/>
          </w:p>
        </w:tc>
      </w:tr>
      <w:tr w:rsidR="00267034" w:rsidRPr="00485B59" w14:paraId="3510A349" w14:textId="77777777" w:rsidTr="008D0113">
        <w:tc>
          <w:tcPr>
            <w:tcW w:w="568" w:type="dxa"/>
          </w:tcPr>
          <w:p w14:paraId="7F340129" w14:textId="5A54E6FC" w:rsidR="00267034" w:rsidRDefault="00267034" w:rsidP="00533173">
            <w:pPr>
              <w:jc w:val="center"/>
              <w:rPr>
                <w:lang w:val="hr-HR"/>
              </w:rPr>
            </w:pPr>
            <w:r>
              <w:rPr>
                <w:lang w:val="hr-HR"/>
              </w:rPr>
              <w:t>28.</w:t>
            </w:r>
          </w:p>
        </w:tc>
        <w:tc>
          <w:tcPr>
            <w:tcW w:w="6237" w:type="dxa"/>
          </w:tcPr>
          <w:p w14:paraId="657A75EB" w14:textId="4C2BB41D" w:rsidR="00FB0C48" w:rsidRPr="00FB0C48" w:rsidRDefault="00FB0C48" w:rsidP="00FB0C48">
            <w:pPr>
              <w:jc w:val="both"/>
              <w:rPr>
                <w:bCs/>
                <w:lang w:val="hr-HR"/>
              </w:rPr>
            </w:pPr>
            <w:r w:rsidRPr="00FB0C48">
              <w:rPr>
                <w:bCs/>
                <w:lang w:val="hr-HR"/>
              </w:rPr>
              <w:t>K</w:t>
            </w:r>
            <w:r w:rsidRPr="00FB0C48">
              <w:rPr>
                <w:rFonts w:hint="eastAsia"/>
                <w:bCs/>
                <w:lang w:val="hr-HR"/>
              </w:rPr>
              <w:t>olika su dozvoljena ulaganja u adaptaciju prostora i nabavu opreme za aktivnosti u odnosu na ukupan p</w:t>
            </w:r>
            <w:r>
              <w:rPr>
                <w:rFonts w:hint="eastAsia"/>
                <w:bCs/>
                <w:lang w:val="hr-HR"/>
              </w:rPr>
              <w:t>roračun projekta u Komponenti 1</w:t>
            </w:r>
            <w:r w:rsidRPr="00FB0C48">
              <w:rPr>
                <w:rFonts w:hint="eastAsia"/>
                <w:bCs/>
                <w:lang w:val="hr-HR"/>
              </w:rPr>
              <w:t xml:space="preserve"> </w:t>
            </w:r>
            <w:r>
              <w:rPr>
                <w:bCs/>
                <w:lang w:val="hr-HR"/>
              </w:rPr>
              <w:t>ovoga Poziva?</w:t>
            </w:r>
          </w:p>
          <w:p w14:paraId="091D87A5" w14:textId="77777777" w:rsidR="00267034" w:rsidRPr="00CC09FC" w:rsidRDefault="00267034" w:rsidP="00CC09FC">
            <w:pPr>
              <w:jc w:val="both"/>
              <w:rPr>
                <w:bCs/>
                <w:lang w:val="hr-HR"/>
              </w:rPr>
            </w:pPr>
          </w:p>
        </w:tc>
        <w:tc>
          <w:tcPr>
            <w:tcW w:w="6521" w:type="dxa"/>
          </w:tcPr>
          <w:p w14:paraId="4CE98142" w14:textId="7595DFEC" w:rsidR="00BC4F6E" w:rsidRPr="00267034" w:rsidRDefault="007B6EC3">
            <w:pPr>
              <w:jc w:val="both"/>
              <w:rPr>
                <w:lang w:val="hr-HR"/>
              </w:rPr>
            </w:pPr>
            <w:r>
              <w:rPr>
                <w:lang w:val="hr-HR"/>
              </w:rPr>
              <w:t xml:space="preserve"> Sukladno</w:t>
            </w:r>
            <w:r w:rsidR="00A71C54">
              <w:rPr>
                <w:lang w:val="hr-HR"/>
              </w:rPr>
              <w:t xml:space="preserve"> izmjenama natječajne dokumentacije</w:t>
            </w:r>
            <w:r>
              <w:rPr>
                <w:lang w:val="hr-HR"/>
              </w:rPr>
              <w:t xml:space="preserve"> Uputama za prijavitelje</w:t>
            </w:r>
            <w:r w:rsidR="00A71C54">
              <w:rPr>
                <w:lang w:val="hr-HR"/>
              </w:rPr>
              <w:t xml:space="preserve"> je definirano da</w:t>
            </w:r>
            <w:r>
              <w:rPr>
                <w:lang w:val="hr-HR"/>
              </w:rPr>
              <w:t xml:space="preserve"> trošak nabave opreme za provedbu projektnih aktivnosti u okviru projekta ne smije premašiti 15% ukupnih </w:t>
            </w:r>
            <w:r w:rsidR="00D034CC">
              <w:rPr>
                <w:lang w:val="hr-HR"/>
              </w:rPr>
              <w:t>prihvatljivih troškova projekta, dok ulaganje u adaptaciju prostora nije naveden kao prihvatljivi trošak.</w:t>
            </w:r>
          </w:p>
        </w:tc>
      </w:tr>
      <w:tr w:rsidR="00BC4F6E" w:rsidRPr="00485B59" w14:paraId="7ABF76CE" w14:textId="77777777" w:rsidTr="00914011">
        <w:tc>
          <w:tcPr>
            <w:tcW w:w="568" w:type="dxa"/>
          </w:tcPr>
          <w:p w14:paraId="16DCB717" w14:textId="77777777" w:rsidR="00BC4F6E" w:rsidRDefault="00BC4F6E" w:rsidP="00533173">
            <w:pPr>
              <w:jc w:val="center"/>
              <w:rPr>
                <w:lang w:val="hr-HR"/>
              </w:rPr>
            </w:pPr>
          </w:p>
        </w:tc>
        <w:tc>
          <w:tcPr>
            <w:tcW w:w="12758" w:type="dxa"/>
            <w:gridSpan w:val="2"/>
          </w:tcPr>
          <w:p w14:paraId="473942AB" w14:textId="1269B2EC" w:rsidR="00BC4F6E" w:rsidRPr="00BC4F6E" w:rsidRDefault="00BC4F6E" w:rsidP="00BC4F6E">
            <w:pPr>
              <w:jc w:val="center"/>
              <w:rPr>
                <w:lang w:val="hr-HR"/>
              </w:rPr>
            </w:pPr>
            <w:r>
              <w:rPr>
                <w:b/>
                <w:i/>
                <w:lang w:val="hr-HR"/>
              </w:rPr>
              <w:t>KOMPONENTA 2</w:t>
            </w:r>
          </w:p>
        </w:tc>
      </w:tr>
      <w:tr w:rsidR="00BC4F6E" w:rsidRPr="00485B59" w14:paraId="382601F0" w14:textId="77777777" w:rsidTr="008D0113">
        <w:tc>
          <w:tcPr>
            <w:tcW w:w="568" w:type="dxa"/>
          </w:tcPr>
          <w:p w14:paraId="2F92A1B3" w14:textId="7C01C745" w:rsidR="00BC4F6E" w:rsidRDefault="00BC4F6E" w:rsidP="00533173">
            <w:pPr>
              <w:jc w:val="center"/>
              <w:rPr>
                <w:lang w:val="hr-HR"/>
              </w:rPr>
            </w:pPr>
            <w:r>
              <w:rPr>
                <w:lang w:val="hr-HR"/>
              </w:rPr>
              <w:t>29.</w:t>
            </w:r>
          </w:p>
        </w:tc>
        <w:tc>
          <w:tcPr>
            <w:tcW w:w="6237" w:type="dxa"/>
          </w:tcPr>
          <w:p w14:paraId="5F08BC07" w14:textId="543F1EDA" w:rsidR="00BC4F6E" w:rsidRPr="00673198" w:rsidRDefault="00BC4F6E" w:rsidP="00BC4F6E">
            <w:pPr>
              <w:jc w:val="both"/>
              <w:rPr>
                <w:lang w:val="hr-HR"/>
              </w:rPr>
            </w:pPr>
            <w:r w:rsidRPr="00673198">
              <w:rPr>
                <w:lang w:val="hr-HR"/>
              </w:rPr>
              <w:t xml:space="preserve">Mogu li na Pozivu u okviru Komponente 2 projektni partneri biti i udruge? Ukoliko mogu, moraju li biti registrirane za specifično područje? </w:t>
            </w:r>
          </w:p>
          <w:p w14:paraId="27521AF5" w14:textId="77777777" w:rsidR="00BC4F6E" w:rsidRDefault="00BC4F6E" w:rsidP="00BC4F6E">
            <w:pPr>
              <w:jc w:val="center"/>
              <w:rPr>
                <w:b/>
                <w:i/>
                <w:lang w:val="hr-HR"/>
              </w:rPr>
            </w:pPr>
          </w:p>
        </w:tc>
        <w:tc>
          <w:tcPr>
            <w:tcW w:w="6521" w:type="dxa"/>
          </w:tcPr>
          <w:p w14:paraId="13E0F50F" w14:textId="23F2917B" w:rsidR="00BC4F6E" w:rsidRPr="00BC4F6E" w:rsidRDefault="00295800" w:rsidP="00C576B2">
            <w:pPr>
              <w:jc w:val="both"/>
              <w:rPr>
                <w:lang w:val="hr-HR"/>
              </w:rPr>
            </w:pPr>
            <w:r>
              <w:rPr>
                <w:rFonts w:ascii="Calibri" w:eastAsia="Calibri" w:hAnsi="Calibri" w:cs="Times New Roman"/>
                <w:lang w:val="hr-HR"/>
              </w:rPr>
              <w:t>Izmjenom natječajne dokumentacije</w:t>
            </w:r>
            <w:r w:rsidR="003C3FA6">
              <w:rPr>
                <w:rFonts w:ascii="Calibri" w:eastAsia="Calibri" w:hAnsi="Calibri" w:cs="Times New Roman"/>
                <w:lang w:val="hr-HR"/>
              </w:rPr>
              <w:t>, u točki 2.2.2 Uputa za prijavitelje</w:t>
            </w:r>
            <w:r w:rsidR="001F2784">
              <w:rPr>
                <w:rFonts w:ascii="Calibri" w:eastAsia="Calibri" w:hAnsi="Calibri" w:cs="Times New Roman"/>
                <w:lang w:val="hr-HR"/>
              </w:rPr>
              <w:t>,</w:t>
            </w:r>
            <w:r>
              <w:rPr>
                <w:rFonts w:ascii="Calibri" w:eastAsia="Calibri" w:hAnsi="Calibri" w:cs="Times New Roman"/>
                <w:lang w:val="hr-HR"/>
              </w:rPr>
              <w:t xml:space="preserve"> udruge su izričito navedene kao mogući </w:t>
            </w:r>
            <w:r w:rsidR="007E7AA4">
              <w:rPr>
                <w:rFonts w:ascii="Calibri" w:eastAsia="Calibri" w:hAnsi="Calibri" w:cs="Times New Roman"/>
                <w:lang w:val="hr-HR"/>
              </w:rPr>
              <w:t xml:space="preserve">projektni </w:t>
            </w:r>
            <w:r>
              <w:rPr>
                <w:rFonts w:ascii="Calibri" w:eastAsia="Calibri" w:hAnsi="Calibri" w:cs="Times New Roman"/>
                <w:lang w:val="hr-HR"/>
              </w:rPr>
              <w:t>partneri.</w:t>
            </w:r>
          </w:p>
        </w:tc>
      </w:tr>
    </w:tbl>
    <w:p w14:paraId="767E8D6B" w14:textId="25391720" w:rsidR="00A33642" w:rsidRPr="002E5B78" w:rsidRDefault="00A33642" w:rsidP="003311CA">
      <w:pPr>
        <w:rPr>
          <w:lang w:val="hr-HR"/>
        </w:rPr>
      </w:pPr>
    </w:p>
    <w:sectPr w:rsidR="00A33642" w:rsidRPr="002E5B78" w:rsidSect="003F711B">
      <w:footerReference w:type="default" r:id="rId10"/>
      <w:pgSz w:w="16838" w:h="11906" w:orient="landscape"/>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B07B36" w15:done="0"/>
  <w15:commentEx w15:paraId="75EDF7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B07B36" w16cid:durableId="1EF05E65"/>
  <w16cid:commentId w16cid:paraId="75EDF7B5" w16cid:durableId="1EF05F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2BF4E" w14:textId="77777777" w:rsidR="003E35EE" w:rsidRDefault="003E35EE" w:rsidP="00104296">
      <w:pPr>
        <w:spacing w:after="0" w:line="240" w:lineRule="auto"/>
      </w:pPr>
      <w:r>
        <w:separator/>
      </w:r>
    </w:p>
  </w:endnote>
  <w:endnote w:type="continuationSeparator" w:id="0">
    <w:p w14:paraId="350E478B" w14:textId="77777777" w:rsidR="003E35EE" w:rsidRDefault="003E35EE" w:rsidP="0010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Droid Sans Fallback">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732755"/>
      <w:docPartObj>
        <w:docPartGallery w:val="Page Numbers (Bottom of Page)"/>
        <w:docPartUnique/>
      </w:docPartObj>
    </w:sdtPr>
    <w:sdtEndPr/>
    <w:sdtContent>
      <w:p w14:paraId="273A0889" w14:textId="54FC577C" w:rsidR="0039371A" w:rsidRDefault="0039371A">
        <w:pPr>
          <w:pStyle w:val="Podnoje"/>
          <w:jc w:val="center"/>
        </w:pPr>
        <w:r>
          <w:fldChar w:fldCharType="begin"/>
        </w:r>
        <w:r>
          <w:instrText>PAGE   \* MERGEFORMAT</w:instrText>
        </w:r>
        <w:r>
          <w:fldChar w:fldCharType="separate"/>
        </w:r>
        <w:r w:rsidR="00E54D0C" w:rsidRPr="00E54D0C">
          <w:rPr>
            <w:noProof/>
            <w:lang w:val="hr-HR"/>
          </w:rPr>
          <w:t>11</w:t>
        </w:r>
        <w:r>
          <w:fldChar w:fldCharType="end"/>
        </w:r>
      </w:p>
    </w:sdtContent>
  </w:sdt>
  <w:p w14:paraId="786642F0" w14:textId="77777777" w:rsidR="0039371A" w:rsidRDefault="0039371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B426C" w14:textId="77777777" w:rsidR="003E35EE" w:rsidRDefault="003E35EE" w:rsidP="00104296">
      <w:pPr>
        <w:spacing w:after="0" w:line="240" w:lineRule="auto"/>
      </w:pPr>
      <w:r>
        <w:separator/>
      </w:r>
    </w:p>
  </w:footnote>
  <w:footnote w:type="continuationSeparator" w:id="0">
    <w:p w14:paraId="20ABEE1F" w14:textId="77777777" w:rsidR="003E35EE" w:rsidRDefault="003E35EE" w:rsidP="00104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74AE"/>
    <w:multiLevelType w:val="hybridMultilevel"/>
    <w:tmpl w:val="09CC2636"/>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D0B5B71"/>
    <w:multiLevelType w:val="multilevel"/>
    <w:tmpl w:val="7B027D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0494025"/>
    <w:multiLevelType w:val="hybridMultilevel"/>
    <w:tmpl w:val="7AE0731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4430FA"/>
    <w:multiLevelType w:val="hybridMultilevel"/>
    <w:tmpl w:val="65D2B228"/>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B520445"/>
    <w:multiLevelType w:val="hybridMultilevel"/>
    <w:tmpl w:val="E00CA7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3001F4D"/>
    <w:multiLevelType w:val="hybridMultilevel"/>
    <w:tmpl w:val="D1C288D0"/>
    <w:lvl w:ilvl="0" w:tplc="FF00331A">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B6F216A"/>
    <w:multiLevelType w:val="hybridMultilevel"/>
    <w:tmpl w:val="5950C3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1501199"/>
    <w:multiLevelType w:val="hybridMultilevel"/>
    <w:tmpl w:val="74FE947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2A06779"/>
    <w:multiLevelType w:val="hybridMultilevel"/>
    <w:tmpl w:val="83E2D3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5F536C0"/>
    <w:multiLevelType w:val="hybridMultilevel"/>
    <w:tmpl w:val="CFE28E58"/>
    <w:lvl w:ilvl="0" w:tplc="042EA9A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685A0C06"/>
    <w:multiLevelType w:val="hybridMultilevel"/>
    <w:tmpl w:val="6CC405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78506145"/>
    <w:multiLevelType w:val="hybridMultilevel"/>
    <w:tmpl w:val="9E9662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DC53099"/>
    <w:multiLevelType w:val="hybridMultilevel"/>
    <w:tmpl w:val="000C31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DE220CA"/>
    <w:multiLevelType w:val="hybridMultilevel"/>
    <w:tmpl w:val="273EE8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E717EFC"/>
    <w:multiLevelType w:val="hybridMultilevel"/>
    <w:tmpl w:val="F462E5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15"/>
  </w:num>
  <w:num w:numId="3">
    <w:abstractNumId w:val="7"/>
  </w:num>
  <w:num w:numId="4">
    <w:abstractNumId w:val="14"/>
  </w:num>
  <w:num w:numId="5">
    <w:abstractNumId w:val="9"/>
  </w:num>
  <w:num w:numId="6">
    <w:abstractNumId w:val="12"/>
  </w:num>
  <w:num w:numId="7">
    <w:abstractNumId w:val="2"/>
  </w:num>
  <w:num w:numId="8">
    <w:abstractNumId w:val="13"/>
  </w:num>
  <w:num w:numId="9">
    <w:abstractNumId w:val="6"/>
  </w:num>
  <w:num w:numId="10">
    <w:abstractNumId w:val="5"/>
  </w:num>
  <w:num w:numId="11">
    <w:abstractNumId w:val="4"/>
  </w:num>
  <w:num w:numId="12">
    <w:abstractNumId w:val="16"/>
  </w:num>
  <w:num w:numId="13">
    <w:abstractNumId w:val="3"/>
  </w:num>
  <w:num w:numId="14">
    <w:abstractNumId w:val="0"/>
  </w:num>
  <w:num w:numId="15">
    <w:abstractNumId w:val="8"/>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mustac">
    <w15:presenceInfo w15:providerId="None" w15:userId="mmust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42"/>
    <w:rsid w:val="00002EAF"/>
    <w:rsid w:val="00004740"/>
    <w:rsid w:val="00010396"/>
    <w:rsid w:val="00012191"/>
    <w:rsid w:val="00013CD9"/>
    <w:rsid w:val="0002575E"/>
    <w:rsid w:val="00025F78"/>
    <w:rsid w:val="0003303C"/>
    <w:rsid w:val="00034AA9"/>
    <w:rsid w:val="00035FCE"/>
    <w:rsid w:val="00044126"/>
    <w:rsid w:val="00044D8E"/>
    <w:rsid w:val="00051440"/>
    <w:rsid w:val="0005689E"/>
    <w:rsid w:val="000629DE"/>
    <w:rsid w:val="00064871"/>
    <w:rsid w:val="00067B12"/>
    <w:rsid w:val="0007246A"/>
    <w:rsid w:val="00073F4E"/>
    <w:rsid w:val="0007660A"/>
    <w:rsid w:val="00080C84"/>
    <w:rsid w:val="00082DCC"/>
    <w:rsid w:val="000836C4"/>
    <w:rsid w:val="00084A8E"/>
    <w:rsid w:val="0008669A"/>
    <w:rsid w:val="000901B7"/>
    <w:rsid w:val="00090D92"/>
    <w:rsid w:val="000969E9"/>
    <w:rsid w:val="000B4337"/>
    <w:rsid w:val="000B4661"/>
    <w:rsid w:val="000B5B56"/>
    <w:rsid w:val="000C6C46"/>
    <w:rsid w:val="000C714A"/>
    <w:rsid w:val="000D5722"/>
    <w:rsid w:val="000D793E"/>
    <w:rsid w:val="000E20FA"/>
    <w:rsid w:val="000E671C"/>
    <w:rsid w:val="000E67B6"/>
    <w:rsid w:val="000E74A5"/>
    <w:rsid w:val="000F1DE2"/>
    <w:rsid w:val="000F55E7"/>
    <w:rsid w:val="000F5E97"/>
    <w:rsid w:val="00104296"/>
    <w:rsid w:val="00113531"/>
    <w:rsid w:val="00113E4E"/>
    <w:rsid w:val="00117752"/>
    <w:rsid w:val="001220B8"/>
    <w:rsid w:val="00123F86"/>
    <w:rsid w:val="0012462F"/>
    <w:rsid w:val="001354A9"/>
    <w:rsid w:val="0014022D"/>
    <w:rsid w:val="0014088C"/>
    <w:rsid w:val="00142CEC"/>
    <w:rsid w:val="00143338"/>
    <w:rsid w:val="0014735F"/>
    <w:rsid w:val="001612EA"/>
    <w:rsid w:val="00161C58"/>
    <w:rsid w:val="00161DCD"/>
    <w:rsid w:val="00164A99"/>
    <w:rsid w:val="001650C8"/>
    <w:rsid w:val="00165CEF"/>
    <w:rsid w:val="00166F7D"/>
    <w:rsid w:val="001718C2"/>
    <w:rsid w:val="00171C63"/>
    <w:rsid w:val="001733FE"/>
    <w:rsid w:val="00175519"/>
    <w:rsid w:val="0018113D"/>
    <w:rsid w:val="00181588"/>
    <w:rsid w:val="00182DF9"/>
    <w:rsid w:val="00183867"/>
    <w:rsid w:val="00184812"/>
    <w:rsid w:val="00185057"/>
    <w:rsid w:val="00191665"/>
    <w:rsid w:val="001957E3"/>
    <w:rsid w:val="001B13A2"/>
    <w:rsid w:val="001B1737"/>
    <w:rsid w:val="001B301B"/>
    <w:rsid w:val="001C06BF"/>
    <w:rsid w:val="001C1FBF"/>
    <w:rsid w:val="001C52CA"/>
    <w:rsid w:val="001C5471"/>
    <w:rsid w:val="001C5935"/>
    <w:rsid w:val="001C6DEF"/>
    <w:rsid w:val="001D2AE8"/>
    <w:rsid w:val="001D3ADA"/>
    <w:rsid w:val="001E2D65"/>
    <w:rsid w:val="001E4FEC"/>
    <w:rsid w:val="001E6E3D"/>
    <w:rsid w:val="001F25A7"/>
    <w:rsid w:val="001F2784"/>
    <w:rsid w:val="001F6CF8"/>
    <w:rsid w:val="00202F99"/>
    <w:rsid w:val="002211E3"/>
    <w:rsid w:val="0022262E"/>
    <w:rsid w:val="002374C0"/>
    <w:rsid w:val="00240862"/>
    <w:rsid w:val="00240A2C"/>
    <w:rsid w:val="00241D3F"/>
    <w:rsid w:val="00241DD2"/>
    <w:rsid w:val="00241F0F"/>
    <w:rsid w:val="002421EE"/>
    <w:rsid w:val="00242A32"/>
    <w:rsid w:val="00246307"/>
    <w:rsid w:val="00247FBC"/>
    <w:rsid w:val="00252B7B"/>
    <w:rsid w:val="002540C7"/>
    <w:rsid w:val="0026504B"/>
    <w:rsid w:val="00266505"/>
    <w:rsid w:val="00267034"/>
    <w:rsid w:val="002746EC"/>
    <w:rsid w:val="00275607"/>
    <w:rsid w:val="0027648C"/>
    <w:rsid w:val="002808AB"/>
    <w:rsid w:val="00280FC9"/>
    <w:rsid w:val="0028195F"/>
    <w:rsid w:val="00285BDB"/>
    <w:rsid w:val="0028626C"/>
    <w:rsid w:val="00295800"/>
    <w:rsid w:val="002A1B61"/>
    <w:rsid w:val="002A1C93"/>
    <w:rsid w:val="002A3B47"/>
    <w:rsid w:val="002B6C8E"/>
    <w:rsid w:val="002B759F"/>
    <w:rsid w:val="002C04CA"/>
    <w:rsid w:val="002C4A16"/>
    <w:rsid w:val="002C4FF1"/>
    <w:rsid w:val="002C67E1"/>
    <w:rsid w:val="002C6D3D"/>
    <w:rsid w:val="002C7779"/>
    <w:rsid w:val="002D04AB"/>
    <w:rsid w:val="002D6B98"/>
    <w:rsid w:val="002E5B78"/>
    <w:rsid w:val="002E7B8D"/>
    <w:rsid w:val="002F6470"/>
    <w:rsid w:val="00303DEB"/>
    <w:rsid w:val="00304552"/>
    <w:rsid w:val="00305800"/>
    <w:rsid w:val="003065E9"/>
    <w:rsid w:val="00310CB3"/>
    <w:rsid w:val="003119F3"/>
    <w:rsid w:val="00315FA3"/>
    <w:rsid w:val="00316917"/>
    <w:rsid w:val="003179A8"/>
    <w:rsid w:val="00321BA8"/>
    <w:rsid w:val="00321E4C"/>
    <w:rsid w:val="00322A0A"/>
    <w:rsid w:val="00326E72"/>
    <w:rsid w:val="00326EDA"/>
    <w:rsid w:val="003311CA"/>
    <w:rsid w:val="00331A78"/>
    <w:rsid w:val="0033340F"/>
    <w:rsid w:val="00335FA6"/>
    <w:rsid w:val="00336F52"/>
    <w:rsid w:val="00342090"/>
    <w:rsid w:val="003471BF"/>
    <w:rsid w:val="00347947"/>
    <w:rsid w:val="00347A51"/>
    <w:rsid w:val="003604B6"/>
    <w:rsid w:val="003607E5"/>
    <w:rsid w:val="003649BE"/>
    <w:rsid w:val="00364DC2"/>
    <w:rsid w:val="00365E9A"/>
    <w:rsid w:val="00366C04"/>
    <w:rsid w:val="00373628"/>
    <w:rsid w:val="0037421E"/>
    <w:rsid w:val="00376FE1"/>
    <w:rsid w:val="00383724"/>
    <w:rsid w:val="0038439B"/>
    <w:rsid w:val="00386357"/>
    <w:rsid w:val="003867D4"/>
    <w:rsid w:val="00387CD8"/>
    <w:rsid w:val="003921D4"/>
    <w:rsid w:val="0039371A"/>
    <w:rsid w:val="003952A8"/>
    <w:rsid w:val="003A4D78"/>
    <w:rsid w:val="003B7A4D"/>
    <w:rsid w:val="003C19C8"/>
    <w:rsid w:val="003C3FA6"/>
    <w:rsid w:val="003C5AEC"/>
    <w:rsid w:val="003C789E"/>
    <w:rsid w:val="003C7C2F"/>
    <w:rsid w:val="003D13E7"/>
    <w:rsid w:val="003D28B9"/>
    <w:rsid w:val="003D5EC0"/>
    <w:rsid w:val="003D69E2"/>
    <w:rsid w:val="003D77A3"/>
    <w:rsid w:val="003E2892"/>
    <w:rsid w:val="003E35EE"/>
    <w:rsid w:val="003E4443"/>
    <w:rsid w:val="003F125D"/>
    <w:rsid w:val="003F711B"/>
    <w:rsid w:val="00400A64"/>
    <w:rsid w:val="00404ECD"/>
    <w:rsid w:val="00406DFE"/>
    <w:rsid w:val="004073BB"/>
    <w:rsid w:val="004104F8"/>
    <w:rsid w:val="004105DD"/>
    <w:rsid w:val="00415046"/>
    <w:rsid w:val="00416834"/>
    <w:rsid w:val="00421EAA"/>
    <w:rsid w:val="004273B7"/>
    <w:rsid w:val="004348F9"/>
    <w:rsid w:val="00435D96"/>
    <w:rsid w:val="00440BB1"/>
    <w:rsid w:val="004411C6"/>
    <w:rsid w:val="00443DD5"/>
    <w:rsid w:val="00446852"/>
    <w:rsid w:val="0045063A"/>
    <w:rsid w:val="00450AB9"/>
    <w:rsid w:val="004517EB"/>
    <w:rsid w:val="004518AB"/>
    <w:rsid w:val="00451EC0"/>
    <w:rsid w:val="0045303A"/>
    <w:rsid w:val="00454534"/>
    <w:rsid w:val="00454773"/>
    <w:rsid w:val="00460937"/>
    <w:rsid w:val="004616CB"/>
    <w:rsid w:val="00467072"/>
    <w:rsid w:val="00472CE8"/>
    <w:rsid w:val="00481326"/>
    <w:rsid w:val="004820AE"/>
    <w:rsid w:val="00484A99"/>
    <w:rsid w:val="00484C8B"/>
    <w:rsid w:val="00485B59"/>
    <w:rsid w:val="00492B15"/>
    <w:rsid w:val="004956CB"/>
    <w:rsid w:val="004A140F"/>
    <w:rsid w:val="004A35E3"/>
    <w:rsid w:val="004A7279"/>
    <w:rsid w:val="004B1C42"/>
    <w:rsid w:val="004B57FF"/>
    <w:rsid w:val="004B6C43"/>
    <w:rsid w:val="004B6F0A"/>
    <w:rsid w:val="004B706F"/>
    <w:rsid w:val="004C158E"/>
    <w:rsid w:val="004C2351"/>
    <w:rsid w:val="004C68BD"/>
    <w:rsid w:val="004C7021"/>
    <w:rsid w:val="004D1B53"/>
    <w:rsid w:val="004D5C73"/>
    <w:rsid w:val="004D6E13"/>
    <w:rsid w:val="004E0F38"/>
    <w:rsid w:val="004E166D"/>
    <w:rsid w:val="004E169B"/>
    <w:rsid w:val="004E7DE1"/>
    <w:rsid w:val="004F4A6E"/>
    <w:rsid w:val="004F5170"/>
    <w:rsid w:val="005150ED"/>
    <w:rsid w:val="00520900"/>
    <w:rsid w:val="005227C6"/>
    <w:rsid w:val="00522B6D"/>
    <w:rsid w:val="005241A9"/>
    <w:rsid w:val="00530EAE"/>
    <w:rsid w:val="00533173"/>
    <w:rsid w:val="00534768"/>
    <w:rsid w:val="005367C2"/>
    <w:rsid w:val="00537550"/>
    <w:rsid w:val="00546955"/>
    <w:rsid w:val="0054737D"/>
    <w:rsid w:val="00563AD2"/>
    <w:rsid w:val="00563B47"/>
    <w:rsid w:val="00563FC4"/>
    <w:rsid w:val="0057190F"/>
    <w:rsid w:val="005727A9"/>
    <w:rsid w:val="00573B86"/>
    <w:rsid w:val="005809B2"/>
    <w:rsid w:val="005866E4"/>
    <w:rsid w:val="005930E1"/>
    <w:rsid w:val="005949D5"/>
    <w:rsid w:val="00596E01"/>
    <w:rsid w:val="00597A8E"/>
    <w:rsid w:val="005A1A37"/>
    <w:rsid w:val="005A21DC"/>
    <w:rsid w:val="005A53C6"/>
    <w:rsid w:val="005A759C"/>
    <w:rsid w:val="005B382B"/>
    <w:rsid w:val="005C325D"/>
    <w:rsid w:val="005C6494"/>
    <w:rsid w:val="005D0609"/>
    <w:rsid w:val="005D2597"/>
    <w:rsid w:val="005D3BA6"/>
    <w:rsid w:val="005E18F6"/>
    <w:rsid w:val="005E7462"/>
    <w:rsid w:val="005F43F6"/>
    <w:rsid w:val="005F51AE"/>
    <w:rsid w:val="005F5C70"/>
    <w:rsid w:val="00601FA9"/>
    <w:rsid w:val="00621224"/>
    <w:rsid w:val="00623098"/>
    <w:rsid w:val="00627452"/>
    <w:rsid w:val="0063108A"/>
    <w:rsid w:val="00631629"/>
    <w:rsid w:val="00631BB9"/>
    <w:rsid w:val="00634921"/>
    <w:rsid w:val="00637ADD"/>
    <w:rsid w:val="006408B8"/>
    <w:rsid w:val="00641058"/>
    <w:rsid w:val="00647813"/>
    <w:rsid w:val="006509E3"/>
    <w:rsid w:val="00652636"/>
    <w:rsid w:val="00652F26"/>
    <w:rsid w:val="00653311"/>
    <w:rsid w:val="0066213C"/>
    <w:rsid w:val="0066376E"/>
    <w:rsid w:val="00666C9C"/>
    <w:rsid w:val="006672AD"/>
    <w:rsid w:val="006717F2"/>
    <w:rsid w:val="00673198"/>
    <w:rsid w:val="00674A6B"/>
    <w:rsid w:val="00677A08"/>
    <w:rsid w:val="00677F53"/>
    <w:rsid w:val="0068587B"/>
    <w:rsid w:val="00685D67"/>
    <w:rsid w:val="00686972"/>
    <w:rsid w:val="00692604"/>
    <w:rsid w:val="00693B58"/>
    <w:rsid w:val="0069493E"/>
    <w:rsid w:val="006A0AFD"/>
    <w:rsid w:val="006A2C39"/>
    <w:rsid w:val="006B1557"/>
    <w:rsid w:val="006C0512"/>
    <w:rsid w:val="006C3B98"/>
    <w:rsid w:val="006E3175"/>
    <w:rsid w:val="006E330F"/>
    <w:rsid w:val="006E4C8C"/>
    <w:rsid w:val="006F35BC"/>
    <w:rsid w:val="006F5EE5"/>
    <w:rsid w:val="006F6F1B"/>
    <w:rsid w:val="006F733F"/>
    <w:rsid w:val="00711429"/>
    <w:rsid w:val="007119AF"/>
    <w:rsid w:val="00711AA2"/>
    <w:rsid w:val="00712E80"/>
    <w:rsid w:val="007139CE"/>
    <w:rsid w:val="00716915"/>
    <w:rsid w:val="007223C1"/>
    <w:rsid w:val="00730057"/>
    <w:rsid w:val="00736E67"/>
    <w:rsid w:val="007438AA"/>
    <w:rsid w:val="007442F8"/>
    <w:rsid w:val="007463E5"/>
    <w:rsid w:val="00755842"/>
    <w:rsid w:val="007561CF"/>
    <w:rsid w:val="0076157D"/>
    <w:rsid w:val="0076170E"/>
    <w:rsid w:val="00765513"/>
    <w:rsid w:val="00767463"/>
    <w:rsid w:val="00770141"/>
    <w:rsid w:val="00770B4D"/>
    <w:rsid w:val="007738F2"/>
    <w:rsid w:val="00774D18"/>
    <w:rsid w:val="00777506"/>
    <w:rsid w:val="00781CF3"/>
    <w:rsid w:val="007852C8"/>
    <w:rsid w:val="0078679B"/>
    <w:rsid w:val="0078793A"/>
    <w:rsid w:val="00793E33"/>
    <w:rsid w:val="00794E56"/>
    <w:rsid w:val="0079668D"/>
    <w:rsid w:val="007A1B16"/>
    <w:rsid w:val="007A3E36"/>
    <w:rsid w:val="007A6641"/>
    <w:rsid w:val="007A6F20"/>
    <w:rsid w:val="007A7E56"/>
    <w:rsid w:val="007B3E5F"/>
    <w:rsid w:val="007B6EC3"/>
    <w:rsid w:val="007B7081"/>
    <w:rsid w:val="007C08F7"/>
    <w:rsid w:val="007C574C"/>
    <w:rsid w:val="007C7624"/>
    <w:rsid w:val="007D63FB"/>
    <w:rsid w:val="007E6804"/>
    <w:rsid w:val="007E7AA4"/>
    <w:rsid w:val="007F0FC5"/>
    <w:rsid w:val="007F2104"/>
    <w:rsid w:val="007F2F7E"/>
    <w:rsid w:val="007F4471"/>
    <w:rsid w:val="007F74BD"/>
    <w:rsid w:val="008004D1"/>
    <w:rsid w:val="00803CCD"/>
    <w:rsid w:val="00812EEC"/>
    <w:rsid w:val="00820D38"/>
    <w:rsid w:val="0083042A"/>
    <w:rsid w:val="00830EC1"/>
    <w:rsid w:val="00832693"/>
    <w:rsid w:val="0083577B"/>
    <w:rsid w:val="00836122"/>
    <w:rsid w:val="00840B73"/>
    <w:rsid w:val="00842059"/>
    <w:rsid w:val="00843CB3"/>
    <w:rsid w:val="00845374"/>
    <w:rsid w:val="00845DFE"/>
    <w:rsid w:val="00851D7D"/>
    <w:rsid w:val="00853FD0"/>
    <w:rsid w:val="00854109"/>
    <w:rsid w:val="008552B0"/>
    <w:rsid w:val="00857853"/>
    <w:rsid w:val="00860942"/>
    <w:rsid w:val="008707F8"/>
    <w:rsid w:val="00871AF6"/>
    <w:rsid w:val="008733DE"/>
    <w:rsid w:val="00874015"/>
    <w:rsid w:val="0088037D"/>
    <w:rsid w:val="00885ACE"/>
    <w:rsid w:val="008928F7"/>
    <w:rsid w:val="008932B8"/>
    <w:rsid w:val="00893420"/>
    <w:rsid w:val="0089478E"/>
    <w:rsid w:val="00897A4A"/>
    <w:rsid w:val="00897E43"/>
    <w:rsid w:val="008A0D85"/>
    <w:rsid w:val="008A1349"/>
    <w:rsid w:val="008A3D94"/>
    <w:rsid w:val="008A78E8"/>
    <w:rsid w:val="008B4B0F"/>
    <w:rsid w:val="008B7CE3"/>
    <w:rsid w:val="008C200E"/>
    <w:rsid w:val="008C398E"/>
    <w:rsid w:val="008C5537"/>
    <w:rsid w:val="008C5B2A"/>
    <w:rsid w:val="008C7573"/>
    <w:rsid w:val="008D0113"/>
    <w:rsid w:val="008D24C3"/>
    <w:rsid w:val="008D2DE7"/>
    <w:rsid w:val="008D4DDB"/>
    <w:rsid w:val="008E063F"/>
    <w:rsid w:val="008E29BA"/>
    <w:rsid w:val="008E3F73"/>
    <w:rsid w:val="008E50C6"/>
    <w:rsid w:val="008E7A64"/>
    <w:rsid w:val="008F1D20"/>
    <w:rsid w:val="00901756"/>
    <w:rsid w:val="00913573"/>
    <w:rsid w:val="009136CC"/>
    <w:rsid w:val="009203F1"/>
    <w:rsid w:val="009314CB"/>
    <w:rsid w:val="00931EB8"/>
    <w:rsid w:val="00933B4D"/>
    <w:rsid w:val="00937000"/>
    <w:rsid w:val="009415BA"/>
    <w:rsid w:val="009418FA"/>
    <w:rsid w:val="00943E23"/>
    <w:rsid w:val="0094513F"/>
    <w:rsid w:val="00945733"/>
    <w:rsid w:val="00946C8B"/>
    <w:rsid w:val="00954E68"/>
    <w:rsid w:val="0096308E"/>
    <w:rsid w:val="009675E1"/>
    <w:rsid w:val="0098233D"/>
    <w:rsid w:val="009828D2"/>
    <w:rsid w:val="00995A72"/>
    <w:rsid w:val="00997CCF"/>
    <w:rsid w:val="009A2829"/>
    <w:rsid w:val="009A6A0F"/>
    <w:rsid w:val="009A6C11"/>
    <w:rsid w:val="009B0334"/>
    <w:rsid w:val="009C292F"/>
    <w:rsid w:val="009C3FA8"/>
    <w:rsid w:val="009C48CB"/>
    <w:rsid w:val="009E0F49"/>
    <w:rsid w:val="009E18E1"/>
    <w:rsid w:val="009E24A4"/>
    <w:rsid w:val="009F0EAA"/>
    <w:rsid w:val="009F1D28"/>
    <w:rsid w:val="00A0223A"/>
    <w:rsid w:val="00A1227A"/>
    <w:rsid w:val="00A1282A"/>
    <w:rsid w:val="00A164BA"/>
    <w:rsid w:val="00A170FA"/>
    <w:rsid w:val="00A20035"/>
    <w:rsid w:val="00A20A48"/>
    <w:rsid w:val="00A23943"/>
    <w:rsid w:val="00A33642"/>
    <w:rsid w:val="00A363DD"/>
    <w:rsid w:val="00A3723B"/>
    <w:rsid w:val="00A469D7"/>
    <w:rsid w:val="00A50F35"/>
    <w:rsid w:val="00A576D6"/>
    <w:rsid w:val="00A62112"/>
    <w:rsid w:val="00A65F8C"/>
    <w:rsid w:val="00A70D22"/>
    <w:rsid w:val="00A71C54"/>
    <w:rsid w:val="00A7409C"/>
    <w:rsid w:val="00A744A8"/>
    <w:rsid w:val="00A74635"/>
    <w:rsid w:val="00A76341"/>
    <w:rsid w:val="00A83024"/>
    <w:rsid w:val="00A86609"/>
    <w:rsid w:val="00A87BDB"/>
    <w:rsid w:val="00A9456B"/>
    <w:rsid w:val="00A95F1F"/>
    <w:rsid w:val="00AA49FD"/>
    <w:rsid w:val="00AA52E3"/>
    <w:rsid w:val="00AA5985"/>
    <w:rsid w:val="00AA707D"/>
    <w:rsid w:val="00AB069B"/>
    <w:rsid w:val="00AB1118"/>
    <w:rsid w:val="00AB5D94"/>
    <w:rsid w:val="00AB68A5"/>
    <w:rsid w:val="00AC038A"/>
    <w:rsid w:val="00AC270D"/>
    <w:rsid w:val="00AC4CBB"/>
    <w:rsid w:val="00AC66A3"/>
    <w:rsid w:val="00AD09E6"/>
    <w:rsid w:val="00AD141A"/>
    <w:rsid w:val="00AE2E6E"/>
    <w:rsid w:val="00AE4A5E"/>
    <w:rsid w:val="00AE6CBA"/>
    <w:rsid w:val="00AF2E9F"/>
    <w:rsid w:val="00AF5142"/>
    <w:rsid w:val="00AF5E5A"/>
    <w:rsid w:val="00AF7D1D"/>
    <w:rsid w:val="00B05518"/>
    <w:rsid w:val="00B0757D"/>
    <w:rsid w:val="00B11208"/>
    <w:rsid w:val="00B16000"/>
    <w:rsid w:val="00B16536"/>
    <w:rsid w:val="00B16538"/>
    <w:rsid w:val="00B22433"/>
    <w:rsid w:val="00B26D1A"/>
    <w:rsid w:val="00B30A27"/>
    <w:rsid w:val="00B410D3"/>
    <w:rsid w:val="00B41D11"/>
    <w:rsid w:val="00B42C45"/>
    <w:rsid w:val="00B43D66"/>
    <w:rsid w:val="00B466B4"/>
    <w:rsid w:val="00B470A5"/>
    <w:rsid w:val="00B478F8"/>
    <w:rsid w:val="00B5058D"/>
    <w:rsid w:val="00B5078F"/>
    <w:rsid w:val="00B54EF0"/>
    <w:rsid w:val="00B57C7C"/>
    <w:rsid w:val="00B645E6"/>
    <w:rsid w:val="00B65F11"/>
    <w:rsid w:val="00B71E1F"/>
    <w:rsid w:val="00B730D6"/>
    <w:rsid w:val="00B803C8"/>
    <w:rsid w:val="00B820EE"/>
    <w:rsid w:val="00B85D02"/>
    <w:rsid w:val="00B86896"/>
    <w:rsid w:val="00B8782F"/>
    <w:rsid w:val="00B9193C"/>
    <w:rsid w:val="00B920E5"/>
    <w:rsid w:val="00B929BB"/>
    <w:rsid w:val="00B9365C"/>
    <w:rsid w:val="00B93F3B"/>
    <w:rsid w:val="00B94051"/>
    <w:rsid w:val="00BA148A"/>
    <w:rsid w:val="00BA39FC"/>
    <w:rsid w:val="00BA3AFF"/>
    <w:rsid w:val="00BB3388"/>
    <w:rsid w:val="00BB40AD"/>
    <w:rsid w:val="00BC4E52"/>
    <w:rsid w:val="00BC4F6E"/>
    <w:rsid w:val="00BD09CB"/>
    <w:rsid w:val="00BD5099"/>
    <w:rsid w:val="00BE0EC9"/>
    <w:rsid w:val="00BE69E9"/>
    <w:rsid w:val="00BE71AF"/>
    <w:rsid w:val="00BF33A9"/>
    <w:rsid w:val="00BF7983"/>
    <w:rsid w:val="00C06916"/>
    <w:rsid w:val="00C069FA"/>
    <w:rsid w:val="00C1244B"/>
    <w:rsid w:val="00C12C11"/>
    <w:rsid w:val="00C15382"/>
    <w:rsid w:val="00C20469"/>
    <w:rsid w:val="00C20911"/>
    <w:rsid w:val="00C238E1"/>
    <w:rsid w:val="00C24366"/>
    <w:rsid w:val="00C26AB4"/>
    <w:rsid w:val="00C32B0E"/>
    <w:rsid w:val="00C35E47"/>
    <w:rsid w:val="00C47E44"/>
    <w:rsid w:val="00C55737"/>
    <w:rsid w:val="00C55765"/>
    <w:rsid w:val="00C576B2"/>
    <w:rsid w:val="00C60309"/>
    <w:rsid w:val="00C62048"/>
    <w:rsid w:val="00C627EE"/>
    <w:rsid w:val="00C63239"/>
    <w:rsid w:val="00C65328"/>
    <w:rsid w:val="00C655E8"/>
    <w:rsid w:val="00C75A0F"/>
    <w:rsid w:val="00C763D2"/>
    <w:rsid w:val="00C812F2"/>
    <w:rsid w:val="00C81B32"/>
    <w:rsid w:val="00C83EA6"/>
    <w:rsid w:val="00C879B9"/>
    <w:rsid w:val="00C87B2C"/>
    <w:rsid w:val="00C916C3"/>
    <w:rsid w:val="00CA2AD1"/>
    <w:rsid w:val="00CA3521"/>
    <w:rsid w:val="00CB5A2D"/>
    <w:rsid w:val="00CB5E76"/>
    <w:rsid w:val="00CC09FC"/>
    <w:rsid w:val="00CC50D9"/>
    <w:rsid w:val="00CC5C48"/>
    <w:rsid w:val="00CD1659"/>
    <w:rsid w:val="00CD1C7F"/>
    <w:rsid w:val="00CE2C66"/>
    <w:rsid w:val="00CE4BCC"/>
    <w:rsid w:val="00CF259D"/>
    <w:rsid w:val="00CF58A6"/>
    <w:rsid w:val="00D034CC"/>
    <w:rsid w:val="00D06F5F"/>
    <w:rsid w:val="00D1021A"/>
    <w:rsid w:val="00D14829"/>
    <w:rsid w:val="00D222FC"/>
    <w:rsid w:val="00D22652"/>
    <w:rsid w:val="00D23252"/>
    <w:rsid w:val="00D25658"/>
    <w:rsid w:val="00D31BF2"/>
    <w:rsid w:val="00D329B9"/>
    <w:rsid w:val="00D35230"/>
    <w:rsid w:val="00D35944"/>
    <w:rsid w:val="00D436CC"/>
    <w:rsid w:val="00D45276"/>
    <w:rsid w:val="00D4573A"/>
    <w:rsid w:val="00D536DE"/>
    <w:rsid w:val="00D56532"/>
    <w:rsid w:val="00D5748F"/>
    <w:rsid w:val="00D63A91"/>
    <w:rsid w:val="00D675E3"/>
    <w:rsid w:val="00D75C57"/>
    <w:rsid w:val="00D81E1D"/>
    <w:rsid w:val="00D83D35"/>
    <w:rsid w:val="00D848E3"/>
    <w:rsid w:val="00D84E78"/>
    <w:rsid w:val="00D95EFA"/>
    <w:rsid w:val="00DA0129"/>
    <w:rsid w:val="00DA55C2"/>
    <w:rsid w:val="00DA77A5"/>
    <w:rsid w:val="00DB2C38"/>
    <w:rsid w:val="00DB31D2"/>
    <w:rsid w:val="00DB5CD9"/>
    <w:rsid w:val="00DB7494"/>
    <w:rsid w:val="00DC0960"/>
    <w:rsid w:val="00DD04AA"/>
    <w:rsid w:val="00DE7D3F"/>
    <w:rsid w:val="00DF0204"/>
    <w:rsid w:val="00DF29C0"/>
    <w:rsid w:val="00DF405F"/>
    <w:rsid w:val="00E00FC4"/>
    <w:rsid w:val="00E01586"/>
    <w:rsid w:val="00E01B41"/>
    <w:rsid w:val="00E02E20"/>
    <w:rsid w:val="00E067F0"/>
    <w:rsid w:val="00E10D3A"/>
    <w:rsid w:val="00E25DC5"/>
    <w:rsid w:val="00E26533"/>
    <w:rsid w:val="00E338C3"/>
    <w:rsid w:val="00E3500B"/>
    <w:rsid w:val="00E35281"/>
    <w:rsid w:val="00E4343B"/>
    <w:rsid w:val="00E4627A"/>
    <w:rsid w:val="00E535D5"/>
    <w:rsid w:val="00E54D0C"/>
    <w:rsid w:val="00E56F12"/>
    <w:rsid w:val="00E62946"/>
    <w:rsid w:val="00E6602D"/>
    <w:rsid w:val="00E70FBF"/>
    <w:rsid w:val="00E8274D"/>
    <w:rsid w:val="00E85FC7"/>
    <w:rsid w:val="00E95132"/>
    <w:rsid w:val="00EA3201"/>
    <w:rsid w:val="00EB6204"/>
    <w:rsid w:val="00EB6F97"/>
    <w:rsid w:val="00EC017F"/>
    <w:rsid w:val="00EC466E"/>
    <w:rsid w:val="00EE42C2"/>
    <w:rsid w:val="00EF399B"/>
    <w:rsid w:val="00EF550F"/>
    <w:rsid w:val="00F02746"/>
    <w:rsid w:val="00F031F1"/>
    <w:rsid w:val="00F04CAE"/>
    <w:rsid w:val="00F07B53"/>
    <w:rsid w:val="00F11DE8"/>
    <w:rsid w:val="00F1210A"/>
    <w:rsid w:val="00F12328"/>
    <w:rsid w:val="00F17EC6"/>
    <w:rsid w:val="00F22BB6"/>
    <w:rsid w:val="00F258E0"/>
    <w:rsid w:val="00F271C3"/>
    <w:rsid w:val="00F318BE"/>
    <w:rsid w:val="00F36C19"/>
    <w:rsid w:val="00F435F2"/>
    <w:rsid w:val="00F51851"/>
    <w:rsid w:val="00F56AE0"/>
    <w:rsid w:val="00F61C27"/>
    <w:rsid w:val="00F62BB6"/>
    <w:rsid w:val="00F6378F"/>
    <w:rsid w:val="00F64225"/>
    <w:rsid w:val="00F65B3D"/>
    <w:rsid w:val="00F73569"/>
    <w:rsid w:val="00F7496B"/>
    <w:rsid w:val="00F80308"/>
    <w:rsid w:val="00F822C5"/>
    <w:rsid w:val="00F84DED"/>
    <w:rsid w:val="00F84E73"/>
    <w:rsid w:val="00F87E08"/>
    <w:rsid w:val="00F9066B"/>
    <w:rsid w:val="00F94190"/>
    <w:rsid w:val="00F96F79"/>
    <w:rsid w:val="00FA200C"/>
    <w:rsid w:val="00FA2861"/>
    <w:rsid w:val="00FA28E6"/>
    <w:rsid w:val="00FB0C48"/>
    <w:rsid w:val="00FB10EC"/>
    <w:rsid w:val="00FB12CF"/>
    <w:rsid w:val="00FB3489"/>
    <w:rsid w:val="00FB3631"/>
    <w:rsid w:val="00FB531B"/>
    <w:rsid w:val="00FC076E"/>
    <w:rsid w:val="00FC141A"/>
    <w:rsid w:val="00FC485C"/>
    <w:rsid w:val="00FC65BA"/>
    <w:rsid w:val="00FD12EB"/>
    <w:rsid w:val="00FD1811"/>
    <w:rsid w:val="00FD2277"/>
    <w:rsid w:val="00FD2E7A"/>
    <w:rsid w:val="00FD4127"/>
    <w:rsid w:val="00FD6446"/>
    <w:rsid w:val="00FD6CDB"/>
    <w:rsid w:val="00FE2E23"/>
    <w:rsid w:val="00FE413E"/>
    <w:rsid w:val="00FE46CB"/>
    <w:rsid w:val="00FE7D3A"/>
    <w:rsid w:val="00FF1263"/>
    <w:rsid w:val="00FF27FB"/>
    <w:rsid w:val="00FF404A"/>
    <w:rsid w:val="00FF45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3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33642"/>
    <w:pPr>
      <w:ind w:left="720"/>
      <w:contextualSpacing/>
    </w:pPr>
  </w:style>
  <w:style w:type="character" w:styleId="Hiperveza">
    <w:name w:val="Hyperlink"/>
    <w:basedOn w:val="Zadanifontodlomka"/>
    <w:uiPriority w:val="99"/>
    <w:unhideWhenUsed/>
    <w:rsid w:val="001F25A7"/>
    <w:rPr>
      <w:color w:val="0563C1" w:themeColor="hyperlink"/>
      <w:u w:val="single"/>
    </w:rPr>
  </w:style>
  <w:style w:type="character" w:styleId="Referencakomentara">
    <w:name w:val="annotation reference"/>
    <w:basedOn w:val="Zadanifontodlomka"/>
    <w:uiPriority w:val="99"/>
    <w:semiHidden/>
    <w:unhideWhenUsed/>
    <w:rsid w:val="00241DD2"/>
    <w:rPr>
      <w:sz w:val="16"/>
      <w:szCs w:val="16"/>
    </w:rPr>
  </w:style>
  <w:style w:type="paragraph" w:styleId="Tekstkomentara">
    <w:name w:val="annotation text"/>
    <w:basedOn w:val="Normal"/>
    <w:link w:val="TekstkomentaraChar"/>
    <w:uiPriority w:val="99"/>
    <w:unhideWhenUsed/>
    <w:rsid w:val="00241DD2"/>
    <w:pPr>
      <w:spacing w:line="240" w:lineRule="auto"/>
    </w:pPr>
    <w:rPr>
      <w:sz w:val="20"/>
      <w:szCs w:val="20"/>
    </w:rPr>
  </w:style>
  <w:style w:type="character" w:customStyle="1" w:styleId="TekstkomentaraChar">
    <w:name w:val="Tekst komentara Char"/>
    <w:basedOn w:val="Zadanifontodlomka"/>
    <w:link w:val="Tekstkomentara"/>
    <w:uiPriority w:val="99"/>
    <w:rsid w:val="00241DD2"/>
    <w:rPr>
      <w:sz w:val="20"/>
      <w:szCs w:val="20"/>
      <w:lang w:val="en-GB"/>
    </w:rPr>
  </w:style>
  <w:style w:type="paragraph" w:styleId="Predmetkomentara">
    <w:name w:val="annotation subject"/>
    <w:basedOn w:val="Tekstkomentara"/>
    <w:next w:val="Tekstkomentara"/>
    <w:link w:val="PredmetkomentaraChar"/>
    <w:uiPriority w:val="99"/>
    <w:semiHidden/>
    <w:unhideWhenUsed/>
    <w:rsid w:val="00241DD2"/>
    <w:rPr>
      <w:b/>
      <w:bCs/>
    </w:rPr>
  </w:style>
  <w:style w:type="character" w:customStyle="1" w:styleId="PredmetkomentaraChar">
    <w:name w:val="Predmet komentara Char"/>
    <w:basedOn w:val="TekstkomentaraChar"/>
    <w:link w:val="Predmetkomentara"/>
    <w:uiPriority w:val="99"/>
    <w:semiHidden/>
    <w:rsid w:val="00241DD2"/>
    <w:rPr>
      <w:b/>
      <w:bCs/>
      <w:sz w:val="20"/>
      <w:szCs w:val="20"/>
      <w:lang w:val="en-GB"/>
    </w:rPr>
  </w:style>
  <w:style w:type="paragraph" w:styleId="Tekstbalonia">
    <w:name w:val="Balloon Text"/>
    <w:basedOn w:val="Normal"/>
    <w:link w:val="TekstbaloniaChar"/>
    <w:uiPriority w:val="99"/>
    <w:semiHidden/>
    <w:unhideWhenUsed/>
    <w:rsid w:val="00241DD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41DD2"/>
    <w:rPr>
      <w:rFonts w:ascii="Tahoma" w:hAnsi="Tahoma" w:cs="Tahoma"/>
      <w:sz w:val="16"/>
      <w:szCs w:val="16"/>
      <w:lang w:val="en-GB"/>
    </w:rPr>
  </w:style>
  <w:style w:type="paragraph" w:styleId="Zaglavlje">
    <w:name w:val="header"/>
    <w:basedOn w:val="Normal"/>
    <w:link w:val="ZaglavljeChar"/>
    <w:uiPriority w:val="99"/>
    <w:unhideWhenUsed/>
    <w:rsid w:val="0010429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4296"/>
    <w:rPr>
      <w:lang w:val="en-GB"/>
    </w:rPr>
  </w:style>
  <w:style w:type="paragraph" w:styleId="Podnoje">
    <w:name w:val="footer"/>
    <w:basedOn w:val="Normal"/>
    <w:link w:val="PodnojeChar"/>
    <w:uiPriority w:val="99"/>
    <w:unhideWhenUsed/>
    <w:rsid w:val="001042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4296"/>
    <w:rPr>
      <w:lang w:val="en-GB"/>
    </w:rPr>
  </w:style>
  <w:style w:type="paragraph" w:styleId="Tekstfusnote">
    <w:name w:val="footnote text"/>
    <w:basedOn w:val="Normal"/>
    <w:link w:val="TekstfusnoteChar"/>
    <w:uiPriority w:val="99"/>
    <w:semiHidden/>
    <w:unhideWhenUsed/>
    <w:rsid w:val="00845374"/>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45374"/>
    <w:rPr>
      <w:sz w:val="20"/>
      <w:szCs w:val="20"/>
      <w:lang w:val="en-GB"/>
    </w:rPr>
  </w:style>
  <w:style w:type="character" w:styleId="Referencafusnote">
    <w:name w:val="footnote reference"/>
    <w:basedOn w:val="Zadanifontodlomka"/>
    <w:uiPriority w:val="99"/>
    <w:semiHidden/>
    <w:unhideWhenUsed/>
    <w:rsid w:val="00845374"/>
    <w:rPr>
      <w:vertAlign w:val="superscript"/>
    </w:rPr>
  </w:style>
  <w:style w:type="paragraph" w:styleId="Bezproreda">
    <w:name w:val="No Spacing"/>
    <w:uiPriority w:val="1"/>
    <w:qFormat/>
    <w:rsid w:val="00A50F35"/>
    <w:pPr>
      <w:pBdr>
        <w:top w:val="nil"/>
        <w:left w:val="nil"/>
        <w:bottom w:val="nil"/>
        <w:right w:val="nil"/>
        <w:between w:val="nil"/>
        <w:bar w:val="nil"/>
      </w:pBdr>
      <w:suppressAutoHyphens/>
      <w:spacing w:after="0" w:line="240" w:lineRule="auto"/>
    </w:pPr>
    <w:rPr>
      <w:rFonts w:ascii="Calibri" w:eastAsia="Calibri" w:hAnsi="Calibri" w:cs="Calibri"/>
      <w:color w:val="00000A"/>
      <w:u w:color="00000A"/>
      <w:bdr w:val="nil"/>
      <w:lang w:eastAsia="hr-HR"/>
    </w:rPr>
  </w:style>
  <w:style w:type="paragraph" w:customStyle="1" w:styleId="ESFBodysivo">
    <w:name w:val="ESF Body_sivo"/>
    <w:link w:val="ESFBodysivoChar"/>
    <w:qFormat/>
    <w:rsid w:val="001C52CA"/>
    <w:pPr>
      <w:pBdr>
        <w:top w:val="nil"/>
        <w:left w:val="nil"/>
        <w:bottom w:val="nil"/>
        <w:right w:val="nil"/>
        <w:between w:val="nil"/>
        <w:bar w:val="nil"/>
      </w:pBdr>
      <w:suppressAutoHyphens/>
      <w:spacing w:after="200" w:line="276" w:lineRule="auto"/>
      <w:jc w:val="both"/>
    </w:pPr>
    <w:rPr>
      <w:rFonts w:ascii="Calibri" w:eastAsia="Calibri" w:hAnsi="Calibri" w:cs="Calibri"/>
      <w:color w:val="000000"/>
      <w:sz w:val="24"/>
      <w:szCs w:val="24"/>
      <w:u w:color="000000"/>
      <w:bdr w:val="nil"/>
      <w:lang w:eastAsia="hr-HR"/>
    </w:rPr>
  </w:style>
  <w:style w:type="character" w:customStyle="1" w:styleId="ESFBodysivoChar">
    <w:name w:val="ESF Body_sivo Char"/>
    <w:basedOn w:val="Zadanifontodlomka"/>
    <w:link w:val="ESFBodysivo"/>
    <w:rsid w:val="001C52CA"/>
    <w:rPr>
      <w:rFonts w:ascii="Calibri" w:eastAsia="Calibri" w:hAnsi="Calibri" w:cs="Calibri"/>
      <w:color w:val="000000"/>
      <w:sz w:val="24"/>
      <w:szCs w:val="24"/>
      <w:u w:color="000000"/>
      <w:bdr w:val="nil"/>
      <w:lang w:eastAsia="hr-HR"/>
    </w:rPr>
  </w:style>
  <w:style w:type="character" w:customStyle="1" w:styleId="Bez">
    <w:name w:val="Bez"/>
    <w:rsid w:val="00671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33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33642"/>
    <w:pPr>
      <w:ind w:left="720"/>
      <w:contextualSpacing/>
    </w:pPr>
  </w:style>
  <w:style w:type="character" w:styleId="Hiperveza">
    <w:name w:val="Hyperlink"/>
    <w:basedOn w:val="Zadanifontodlomka"/>
    <w:uiPriority w:val="99"/>
    <w:unhideWhenUsed/>
    <w:rsid w:val="001F25A7"/>
    <w:rPr>
      <w:color w:val="0563C1" w:themeColor="hyperlink"/>
      <w:u w:val="single"/>
    </w:rPr>
  </w:style>
  <w:style w:type="character" w:styleId="Referencakomentara">
    <w:name w:val="annotation reference"/>
    <w:basedOn w:val="Zadanifontodlomka"/>
    <w:uiPriority w:val="99"/>
    <w:semiHidden/>
    <w:unhideWhenUsed/>
    <w:rsid w:val="00241DD2"/>
    <w:rPr>
      <w:sz w:val="16"/>
      <w:szCs w:val="16"/>
    </w:rPr>
  </w:style>
  <w:style w:type="paragraph" w:styleId="Tekstkomentara">
    <w:name w:val="annotation text"/>
    <w:basedOn w:val="Normal"/>
    <w:link w:val="TekstkomentaraChar"/>
    <w:uiPriority w:val="99"/>
    <w:unhideWhenUsed/>
    <w:rsid w:val="00241DD2"/>
    <w:pPr>
      <w:spacing w:line="240" w:lineRule="auto"/>
    </w:pPr>
    <w:rPr>
      <w:sz w:val="20"/>
      <w:szCs w:val="20"/>
    </w:rPr>
  </w:style>
  <w:style w:type="character" w:customStyle="1" w:styleId="TekstkomentaraChar">
    <w:name w:val="Tekst komentara Char"/>
    <w:basedOn w:val="Zadanifontodlomka"/>
    <w:link w:val="Tekstkomentara"/>
    <w:uiPriority w:val="99"/>
    <w:rsid w:val="00241DD2"/>
    <w:rPr>
      <w:sz w:val="20"/>
      <w:szCs w:val="20"/>
      <w:lang w:val="en-GB"/>
    </w:rPr>
  </w:style>
  <w:style w:type="paragraph" w:styleId="Predmetkomentara">
    <w:name w:val="annotation subject"/>
    <w:basedOn w:val="Tekstkomentara"/>
    <w:next w:val="Tekstkomentara"/>
    <w:link w:val="PredmetkomentaraChar"/>
    <w:uiPriority w:val="99"/>
    <w:semiHidden/>
    <w:unhideWhenUsed/>
    <w:rsid w:val="00241DD2"/>
    <w:rPr>
      <w:b/>
      <w:bCs/>
    </w:rPr>
  </w:style>
  <w:style w:type="character" w:customStyle="1" w:styleId="PredmetkomentaraChar">
    <w:name w:val="Predmet komentara Char"/>
    <w:basedOn w:val="TekstkomentaraChar"/>
    <w:link w:val="Predmetkomentara"/>
    <w:uiPriority w:val="99"/>
    <w:semiHidden/>
    <w:rsid w:val="00241DD2"/>
    <w:rPr>
      <w:b/>
      <w:bCs/>
      <w:sz w:val="20"/>
      <w:szCs w:val="20"/>
      <w:lang w:val="en-GB"/>
    </w:rPr>
  </w:style>
  <w:style w:type="paragraph" w:styleId="Tekstbalonia">
    <w:name w:val="Balloon Text"/>
    <w:basedOn w:val="Normal"/>
    <w:link w:val="TekstbaloniaChar"/>
    <w:uiPriority w:val="99"/>
    <w:semiHidden/>
    <w:unhideWhenUsed/>
    <w:rsid w:val="00241DD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41DD2"/>
    <w:rPr>
      <w:rFonts w:ascii="Tahoma" w:hAnsi="Tahoma" w:cs="Tahoma"/>
      <w:sz w:val="16"/>
      <w:szCs w:val="16"/>
      <w:lang w:val="en-GB"/>
    </w:rPr>
  </w:style>
  <w:style w:type="paragraph" w:styleId="Zaglavlje">
    <w:name w:val="header"/>
    <w:basedOn w:val="Normal"/>
    <w:link w:val="ZaglavljeChar"/>
    <w:uiPriority w:val="99"/>
    <w:unhideWhenUsed/>
    <w:rsid w:val="0010429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04296"/>
    <w:rPr>
      <w:lang w:val="en-GB"/>
    </w:rPr>
  </w:style>
  <w:style w:type="paragraph" w:styleId="Podnoje">
    <w:name w:val="footer"/>
    <w:basedOn w:val="Normal"/>
    <w:link w:val="PodnojeChar"/>
    <w:uiPriority w:val="99"/>
    <w:unhideWhenUsed/>
    <w:rsid w:val="0010429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04296"/>
    <w:rPr>
      <w:lang w:val="en-GB"/>
    </w:rPr>
  </w:style>
  <w:style w:type="paragraph" w:styleId="Tekstfusnote">
    <w:name w:val="footnote text"/>
    <w:basedOn w:val="Normal"/>
    <w:link w:val="TekstfusnoteChar"/>
    <w:uiPriority w:val="99"/>
    <w:semiHidden/>
    <w:unhideWhenUsed/>
    <w:rsid w:val="00845374"/>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45374"/>
    <w:rPr>
      <w:sz w:val="20"/>
      <w:szCs w:val="20"/>
      <w:lang w:val="en-GB"/>
    </w:rPr>
  </w:style>
  <w:style w:type="character" w:styleId="Referencafusnote">
    <w:name w:val="footnote reference"/>
    <w:basedOn w:val="Zadanifontodlomka"/>
    <w:uiPriority w:val="99"/>
    <w:semiHidden/>
    <w:unhideWhenUsed/>
    <w:rsid w:val="00845374"/>
    <w:rPr>
      <w:vertAlign w:val="superscript"/>
    </w:rPr>
  </w:style>
  <w:style w:type="paragraph" w:styleId="Bezproreda">
    <w:name w:val="No Spacing"/>
    <w:uiPriority w:val="1"/>
    <w:qFormat/>
    <w:rsid w:val="00A50F35"/>
    <w:pPr>
      <w:pBdr>
        <w:top w:val="nil"/>
        <w:left w:val="nil"/>
        <w:bottom w:val="nil"/>
        <w:right w:val="nil"/>
        <w:between w:val="nil"/>
        <w:bar w:val="nil"/>
      </w:pBdr>
      <w:suppressAutoHyphens/>
      <w:spacing w:after="0" w:line="240" w:lineRule="auto"/>
    </w:pPr>
    <w:rPr>
      <w:rFonts w:ascii="Calibri" w:eastAsia="Calibri" w:hAnsi="Calibri" w:cs="Calibri"/>
      <w:color w:val="00000A"/>
      <w:u w:color="00000A"/>
      <w:bdr w:val="nil"/>
      <w:lang w:eastAsia="hr-HR"/>
    </w:rPr>
  </w:style>
  <w:style w:type="paragraph" w:customStyle="1" w:styleId="ESFBodysivo">
    <w:name w:val="ESF Body_sivo"/>
    <w:link w:val="ESFBodysivoChar"/>
    <w:qFormat/>
    <w:rsid w:val="001C52CA"/>
    <w:pPr>
      <w:pBdr>
        <w:top w:val="nil"/>
        <w:left w:val="nil"/>
        <w:bottom w:val="nil"/>
        <w:right w:val="nil"/>
        <w:between w:val="nil"/>
        <w:bar w:val="nil"/>
      </w:pBdr>
      <w:suppressAutoHyphens/>
      <w:spacing w:after="200" w:line="276" w:lineRule="auto"/>
      <w:jc w:val="both"/>
    </w:pPr>
    <w:rPr>
      <w:rFonts w:ascii="Calibri" w:eastAsia="Calibri" w:hAnsi="Calibri" w:cs="Calibri"/>
      <w:color w:val="000000"/>
      <w:sz w:val="24"/>
      <w:szCs w:val="24"/>
      <w:u w:color="000000"/>
      <w:bdr w:val="nil"/>
      <w:lang w:eastAsia="hr-HR"/>
    </w:rPr>
  </w:style>
  <w:style w:type="character" w:customStyle="1" w:styleId="ESFBodysivoChar">
    <w:name w:val="ESF Body_sivo Char"/>
    <w:basedOn w:val="Zadanifontodlomka"/>
    <w:link w:val="ESFBodysivo"/>
    <w:rsid w:val="001C52CA"/>
    <w:rPr>
      <w:rFonts w:ascii="Calibri" w:eastAsia="Calibri" w:hAnsi="Calibri" w:cs="Calibri"/>
      <w:color w:val="000000"/>
      <w:sz w:val="24"/>
      <w:szCs w:val="24"/>
      <w:u w:color="000000"/>
      <w:bdr w:val="nil"/>
      <w:lang w:eastAsia="hr-HR"/>
    </w:rPr>
  </w:style>
  <w:style w:type="character" w:customStyle="1" w:styleId="Bez">
    <w:name w:val="Bez"/>
    <w:rsid w:val="00671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9456">
      <w:bodyDiv w:val="1"/>
      <w:marLeft w:val="0"/>
      <w:marRight w:val="0"/>
      <w:marTop w:val="0"/>
      <w:marBottom w:val="0"/>
      <w:divBdr>
        <w:top w:val="none" w:sz="0" w:space="0" w:color="auto"/>
        <w:left w:val="none" w:sz="0" w:space="0" w:color="auto"/>
        <w:bottom w:val="none" w:sz="0" w:space="0" w:color="auto"/>
        <w:right w:val="none" w:sz="0" w:space="0" w:color="auto"/>
      </w:divBdr>
    </w:div>
    <w:div w:id="468983612">
      <w:bodyDiv w:val="1"/>
      <w:marLeft w:val="0"/>
      <w:marRight w:val="0"/>
      <w:marTop w:val="0"/>
      <w:marBottom w:val="0"/>
      <w:divBdr>
        <w:top w:val="none" w:sz="0" w:space="0" w:color="auto"/>
        <w:left w:val="none" w:sz="0" w:space="0" w:color="auto"/>
        <w:bottom w:val="none" w:sz="0" w:space="0" w:color="auto"/>
        <w:right w:val="none" w:sz="0" w:space="0" w:color="auto"/>
      </w:divBdr>
    </w:div>
    <w:div w:id="921571020">
      <w:bodyDiv w:val="1"/>
      <w:marLeft w:val="0"/>
      <w:marRight w:val="0"/>
      <w:marTop w:val="0"/>
      <w:marBottom w:val="0"/>
      <w:divBdr>
        <w:top w:val="none" w:sz="0" w:space="0" w:color="auto"/>
        <w:left w:val="none" w:sz="0" w:space="0" w:color="auto"/>
        <w:bottom w:val="none" w:sz="0" w:space="0" w:color="auto"/>
        <w:right w:val="none" w:sz="0" w:space="0" w:color="auto"/>
      </w:divBdr>
    </w:div>
    <w:div w:id="1062100604">
      <w:bodyDiv w:val="1"/>
      <w:marLeft w:val="0"/>
      <w:marRight w:val="0"/>
      <w:marTop w:val="0"/>
      <w:marBottom w:val="0"/>
      <w:divBdr>
        <w:top w:val="none" w:sz="0" w:space="0" w:color="auto"/>
        <w:left w:val="none" w:sz="0" w:space="0" w:color="auto"/>
        <w:bottom w:val="none" w:sz="0" w:space="0" w:color="auto"/>
        <w:right w:val="none" w:sz="0" w:space="0" w:color="auto"/>
      </w:divBdr>
    </w:div>
    <w:div w:id="171365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sf.hr" TargetMode="External"/><Relationship Id="rId14" Type="http://schemas.microsoft.com/office/2011/relationships/commentsExtended" Target="commentsExtended.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9082-311A-43D0-BD37-F1B6F9744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3791</Words>
  <Characters>21614</Characters>
  <Application>Microsoft Office Word</Application>
  <DocSecurity>0</DocSecurity>
  <Lines>180</Lines>
  <Paragraphs>50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25355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Balog</dc:creator>
  <cp:lastModifiedBy>MRMS</cp:lastModifiedBy>
  <cp:revision>39</cp:revision>
  <cp:lastPrinted>2017-07-11T17:35:00Z</cp:lastPrinted>
  <dcterms:created xsi:type="dcterms:W3CDTF">2018-07-11T10:01:00Z</dcterms:created>
  <dcterms:modified xsi:type="dcterms:W3CDTF">2018-08-07T12:27:00Z</dcterms:modified>
</cp:coreProperties>
</file>