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645E52" w:rsidRPr="00A068C1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A068C1">
        <w:rPr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3B6C73">
        <w:rPr>
          <w:b/>
          <w:sz w:val="34"/>
          <w:szCs w:val="34"/>
        </w:rPr>
        <w:t>Operativni program „Učinkoviti ljudski potencijali</w:t>
      </w:r>
      <w:r w:rsidR="0042103F">
        <w:rPr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>
        <w:rPr>
          <w:b/>
          <w:sz w:val="34"/>
          <w:szCs w:val="34"/>
        </w:rPr>
        <w:t xml:space="preserve"> </w:t>
      </w:r>
    </w:p>
    <w:p w:rsidR="00AE5BB9" w:rsidRPr="003B6C73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3B6C73">
        <w:rPr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AE5BB9" w:rsidRPr="003B6C73" w:rsidRDefault="00AE5BB9" w:rsidP="0012041F">
      <w:pPr>
        <w:jc w:val="center"/>
        <w:outlineLvl w:val="0"/>
        <w:rPr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645E52">
        <w:rPr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Default="00633EC4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>t</w:t>
      </w:r>
      <w:r w:rsidR="009A7CB7" w:rsidRPr="003B6C73">
        <w:rPr>
          <w:b/>
          <w:sz w:val="28"/>
          <w:szCs w:val="28"/>
          <w:lang w:bidi="hr-HR"/>
        </w:rPr>
        <w:t xml:space="preserve">ijelima </w:t>
      </w:r>
      <w:r w:rsidR="00AE5BB9" w:rsidRPr="003B6C73">
        <w:rPr>
          <w:b/>
          <w:sz w:val="28"/>
          <w:szCs w:val="28"/>
          <w:lang w:bidi="hr-HR"/>
        </w:rPr>
        <w:t>za dostavu prijedloga operacija koje će se financirati kao izravna dodjela sred</w:t>
      </w:r>
      <w:r w:rsidR="00124FAF">
        <w:rPr>
          <w:b/>
          <w:sz w:val="28"/>
          <w:szCs w:val="28"/>
          <w:lang w:bidi="hr-HR"/>
        </w:rPr>
        <w:t xml:space="preserve">stava u okviru </w:t>
      </w:r>
    </w:p>
    <w:p w:rsidR="00645E52" w:rsidRDefault="00124FAF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 xml:space="preserve">Prioritetne osi </w:t>
      </w:r>
      <w:r w:rsidR="00A068C1">
        <w:rPr>
          <w:b/>
          <w:sz w:val="28"/>
          <w:szCs w:val="28"/>
          <w:lang w:bidi="hr-HR"/>
        </w:rPr>
        <w:t>1</w:t>
      </w:r>
      <w:r w:rsidR="00AE5BB9" w:rsidRPr="003B6C73">
        <w:rPr>
          <w:b/>
          <w:sz w:val="28"/>
          <w:szCs w:val="28"/>
          <w:lang w:bidi="hr-HR"/>
        </w:rPr>
        <w:t xml:space="preserve"> „</w:t>
      </w:r>
      <w:r w:rsidR="00A068C1">
        <w:rPr>
          <w:b/>
          <w:sz w:val="28"/>
          <w:szCs w:val="28"/>
          <w:lang w:bidi="hr-HR"/>
        </w:rPr>
        <w:t xml:space="preserve">Visoka </w:t>
      </w:r>
      <w:proofErr w:type="spellStart"/>
      <w:r w:rsidR="00A068C1">
        <w:rPr>
          <w:b/>
          <w:sz w:val="28"/>
          <w:szCs w:val="28"/>
          <w:lang w:bidi="hr-HR"/>
        </w:rPr>
        <w:t>zapošljivost</w:t>
      </w:r>
      <w:proofErr w:type="spellEnd"/>
      <w:r w:rsidR="00A068C1">
        <w:rPr>
          <w:b/>
          <w:sz w:val="28"/>
          <w:szCs w:val="28"/>
          <w:lang w:bidi="hr-HR"/>
        </w:rPr>
        <w:t xml:space="preserve"> i mobilnost radne snage</w:t>
      </w:r>
      <w:r w:rsidR="0072151D">
        <w:rPr>
          <w:b/>
          <w:sz w:val="28"/>
          <w:szCs w:val="28"/>
          <w:lang w:bidi="hr-HR"/>
        </w:rPr>
        <w:t xml:space="preserve">“ </w:t>
      </w:r>
    </w:p>
    <w:p w:rsidR="00AE5BB9" w:rsidRPr="003B6C73" w:rsidRDefault="00AE5BB9" w:rsidP="00AE5BB9">
      <w:pPr>
        <w:jc w:val="center"/>
        <w:rPr>
          <w:b/>
          <w:sz w:val="28"/>
          <w:szCs w:val="28"/>
          <w:lang w:bidi="hr-HR"/>
        </w:rPr>
      </w:pPr>
      <w:r w:rsidRPr="003B6C73">
        <w:rPr>
          <w:b/>
          <w:sz w:val="28"/>
          <w:szCs w:val="28"/>
          <w:lang w:bidi="hr-HR"/>
        </w:rPr>
        <w:t xml:space="preserve">Operativnog programa </w:t>
      </w:r>
      <w:r w:rsidR="000B5FC7">
        <w:rPr>
          <w:b/>
          <w:sz w:val="28"/>
          <w:szCs w:val="28"/>
          <w:lang w:bidi="hr-HR"/>
        </w:rPr>
        <w:t>''</w:t>
      </w:r>
      <w:r w:rsidRPr="003B6C73">
        <w:rPr>
          <w:b/>
          <w:sz w:val="28"/>
          <w:szCs w:val="28"/>
          <w:lang w:bidi="hr-HR"/>
        </w:rPr>
        <w:t>Učinkoviti ljudski potencijali</w:t>
      </w:r>
      <w:r w:rsidR="000B5FC7">
        <w:rPr>
          <w:b/>
          <w:sz w:val="28"/>
          <w:szCs w:val="28"/>
          <w:lang w:bidi="hr-HR"/>
        </w:rPr>
        <w:t>''</w:t>
      </w:r>
      <w:r w:rsidR="00323A47">
        <w:rPr>
          <w:b/>
          <w:sz w:val="28"/>
          <w:szCs w:val="28"/>
          <w:lang w:bidi="hr-HR"/>
        </w:rPr>
        <w:t xml:space="preserve"> </w:t>
      </w:r>
      <w:r w:rsidRPr="003B6C73">
        <w:rPr>
          <w:b/>
          <w:sz w:val="28"/>
          <w:szCs w:val="28"/>
          <w:lang w:bidi="hr-HR"/>
        </w:rPr>
        <w:t>2014.-2020.</w:t>
      </w:r>
    </w:p>
    <w:p w:rsidR="00AE5BB9" w:rsidRPr="003B6C73" w:rsidRDefault="00AE5BB9" w:rsidP="00AE5BB9">
      <w:pPr>
        <w:jc w:val="center"/>
        <w:rPr>
          <w:b/>
          <w:sz w:val="40"/>
          <w:szCs w:val="40"/>
        </w:rPr>
      </w:pPr>
      <w:bookmarkStart w:id="34" w:name="_GoBack"/>
      <w:bookmarkEnd w:id="34"/>
    </w:p>
    <w:p w:rsidR="00AE5BB9" w:rsidRPr="003B6C73" w:rsidRDefault="00AE5BB9"/>
    <w:p w:rsidR="00AE5BB9" w:rsidRPr="003D12D2" w:rsidRDefault="003D12D2">
      <w:pPr>
        <w:rPr>
          <w:rFonts w:asciiTheme="minorHAnsi" w:hAnsiTheme="minorHAnsi"/>
          <w:b/>
          <w:sz w:val="28"/>
          <w:szCs w:val="28"/>
        </w:rPr>
      </w:pPr>
      <w:r w:rsidRPr="003D12D2">
        <w:rPr>
          <w:rFonts w:asciiTheme="minorHAnsi" w:hAnsiTheme="minorHAnsi" w:cs="Lucida Sans Unicode"/>
          <w:b/>
          <w:sz w:val="28"/>
          <w:szCs w:val="28"/>
        </w:rPr>
        <w:t>Broj poziva:</w:t>
      </w:r>
      <w:r w:rsidRPr="003D12D2">
        <w:rPr>
          <w:rFonts w:asciiTheme="minorHAnsi" w:hAnsiTheme="minorHAnsi" w:cs="Lucida Sans Unicode"/>
          <w:b/>
          <w:sz w:val="28"/>
          <w:szCs w:val="28"/>
        </w:rPr>
        <w:t xml:space="preserve"> </w:t>
      </w:r>
      <w:r w:rsidRPr="003D12D2">
        <w:rPr>
          <w:rFonts w:asciiTheme="minorHAnsi" w:hAnsiTheme="minorHAnsi"/>
          <w:b/>
          <w:color w:val="000000"/>
          <w:sz w:val="28"/>
          <w:szCs w:val="28"/>
        </w:rPr>
        <w:t>UP.01.0.0.02</w:t>
      </w:r>
    </w:p>
    <w:p w:rsidR="00AE5BB9" w:rsidRPr="003B6C73" w:rsidRDefault="00AE5BB9"/>
    <w:p w:rsidR="00AE5BB9" w:rsidRPr="003B6C73" w:rsidRDefault="00AE5BB9"/>
    <w:p w:rsidR="00AE5BB9" w:rsidRDefault="00AE5BB9"/>
    <w:p w:rsidR="008A5142" w:rsidRDefault="008A5142"/>
    <w:p w:rsidR="008A5142" w:rsidRPr="003B6C73" w:rsidRDefault="003D1772">
      <w:r>
        <w:t xml:space="preserve">                         </w:t>
      </w:r>
      <w:r>
        <w:rPr>
          <w:rFonts w:ascii="Times New Roman" w:hAnsi="Times New Roman"/>
          <w:b/>
          <w:bCs/>
          <w:i/>
          <w:iCs/>
          <w:noProof/>
          <w:color w:val="1F497D"/>
          <w:sz w:val="24"/>
          <w:szCs w:val="24"/>
          <w:lang w:eastAsia="hr-HR"/>
        </w:rPr>
        <w:drawing>
          <wp:inline distT="0" distB="0" distL="0" distR="0" wp14:anchorId="130F9E9A" wp14:editId="594443AC">
            <wp:extent cx="3876675" cy="676275"/>
            <wp:effectExtent l="0" t="0" r="0" b="9525"/>
            <wp:docPr id="5" name="Slika 1" descr="cid:image005.png@01D1851C.997B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5.png@01D1851C.997BC9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9" w:rsidRPr="003B6C73" w:rsidRDefault="00AE5BB9"/>
    <w:p w:rsidR="00AE5BB9" w:rsidRDefault="00AE5BB9"/>
    <w:p w:rsidR="008A5142" w:rsidRDefault="008A5142"/>
    <w:p w:rsidR="008A5142" w:rsidRDefault="008A5142"/>
    <w:p w:rsidR="008A5142" w:rsidRPr="003B6C73" w:rsidRDefault="008A5142"/>
    <w:p w:rsidR="00E358BD" w:rsidRDefault="00512481" w:rsidP="00E358BD">
      <w:pPr>
        <w:pStyle w:val="Sadraj"/>
        <w:outlineLvl w:val="0"/>
        <w:rPr>
          <w:rFonts w:asciiTheme="minorHAnsi" w:eastAsiaTheme="minorEastAsia" w:hAnsiTheme="minorHAnsi" w:cstheme="minorBidi"/>
          <w:b/>
          <w:noProof/>
          <w:lang w:eastAsia="hr-HR"/>
        </w:rPr>
      </w:pPr>
      <w:bookmarkStart w:id="35" w:name="_Toc434926558"/>
      <w:bookmarkStart w:id="36" w:name="_Toc426101079"/>
      <w:bookmarkStart w:id="37" w:name="_Toc426100910"/>
      <w:bookmarkStart w:id="38" w:name="_Toc426095529"/>
      <w:bookmarkStart w:id="39" w:name="_Toc426095470"/>
      <w:bookmarkStart w:id="40" w:name="_Toc426094963"/>
      <w:bookmarkStart w:id="41" w:name="_Toc445991349"/>
      <w:bookmarkStart w:id="42" w:name="_Toc452453562"/>
      <w:r>
        <w:t>SADRŽAJ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23A72">
        <w:rPr>
          <w:rFonts w:asciiTheme="minorHAnsi" w:hAnsiTheme="minorHAnsi"/>
        </w:rPr>
        <w:fldChar w:fldCharType="begin"/>
      </w:r>
      <w:r w:rsidRPr="00923A72">
        <w:rPr>
          <w:rFonts w:asciiTheme="minorHAnsi" w:hAnsiTheme="minorHAnsi"/>
        </w:rPr>
        <w:instrText xml:space="preserve"> TOC \o "1-3" \h \z \u </w:instrText>
      </w:r>
      <w:r w:rsidRPr="00923A72">
        <w:rPr>
          <w:rFonts w:asciiTheme="minorHAnsi" w:hAnsiTheme="minorHAnsi"/>
        </w:rPr>
        <w:fldChar w:fldCharType="separate"/>
      </w:r>
    </w:p>
    <w:p w:rsidR="00D07CCC" w:rsidRDefault="00D07CCC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3" w:history="1">
        <w:r w:rsidR="00D07CCC" w:rsidRPr="00E326F9">
          <w:rPr>
            <w:rStyle w:val="Hiperveza"/>
            <w:rFonts w:eastAsia="Times New Roman"/>
          </w:rPr>
          <w:t>Pojmovi i kratice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3</w:t>
        </w:r>
        <w:r w:rsidR="00D07CCC">
          <w:rPr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4" w:history="1">
        <w:r w:rsidR="00D07CCC" w:rsidRPr="00E326F9">
          <w:rPr>
            <w:rStyle w:val="Hiperveza"/>
            <w:rFonts w:eastAsia="Times New Roman"/>
            <w:lang w:val="en-GB"/>
          </w:rPr>
          <w:t>Zakonodavni okvir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_Toc452453564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5" w:history="1">
        <w:r w:rsidR="00D07CCC" w:rsidRPr="00E326F9">
          <w:rPr>
            <w:rStyle w:val="Hiperveza"/>
            <w:rFonts w:asciiTheme="majorHAnsi" w:eastAsia="SimSun" w:hAnsiTheme="majorHAnsi"/>
            <w:bCs/>
          </w:rPr>
          <w:t>1. Predmet poziva i opće informacije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_Toc452453565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7</w:t>
        </w:r>
        <w:r w:rsidR="00D07CCC">
          <w:rPr>
            <w:webHidden/>
          </w:rPr>
          <w:fldChar w:fldCharType="end"/>
        </w:r>
      </w:hyperlink>
    </w:p>
    <w:p w:rsidR="00D07CCC" w:rsidRDefault="009B7A87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6" w:history="1">
        <w:r w:rsidR="00D07CCC" w:rsidRPr="00E326F9">
          <w:rPr>
            <w:rStyle w:val="Hiperveza"/>
            <w:noProof/>
          </w:rPr>
          <w:t>1.1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noProof/>
          </w:rPr>
          <w:t>Prijavitelj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_Toc452453566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7" w:history="1">
        <w:r w:rsidR="00D07CCC" w:rsidRPr="00E326F9">
          <w:rPr>
            <w:rStyle w:val="Hiperveza"/>
            <w:rFonts w:asciiTheme="majorHAnsi" w:hAnsiTheme="majorHAnsi" w:cs="Lucida Sans Unicode"/>
            <w:noProof/>
          </w:rPr>
          <w:t>1.2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rFonts w:asciiTheme="majorHAnsi" w:hAnsiTheme="majorHAnsi" w:cs="Lucida Sans Unicode"/>
            <w:noProof/>
          </w:rPr>
          <w:t>Pokazatelji provedbe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_Toc452453567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9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8" w:history="1">
        <w:r w:rsidR="00D07CCC" w:rsidRPr="00E326F9">
          <w:rPr>
            <w:rStyle w:val="Hiperveza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_Toc452453568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9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9" w:history="1">
        <w:r w:rsidR="00D07CCC" w:rsidRPr="00E326F9">
          <w:rPr>
            <w:rStyle w:val="Hiperveza"/>
          </w:rPr>
          <w:t>2. Financiranje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10</w:t>
        </w:r>
        <w:r w:rsidR="00D07CCC">
          <w:rPr>
            <w:webHidden/>
          </w:rPr>
          <w:fldChar w:fldCharType="end"/>
        </w:r>
      </w:hyperlink>
    </w:p>
    <w:p w:rsidR="00D07CCC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0" w:history="1">
        <w:r w:rsidR="00D07CCC" w:rsidRPr="00E326F9">
          <w:rPr>
            <w:rStyle w:val="Hiperveza"/>
            <w:noProof/>
            <w:lang w:val="sl-SI"/>
          </w:rPr>
          <w:t>2.1. Trajanje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_Toc452453570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1" w:history="1">
        <w:r w:rsidR="00D07CCC" w:rsidRPr="00E326F9">
          <w:rPr>
            <w:rStyle w:val="Hiperveza"/>
            <w:noProof/>
            <w:lang w:val="sl-SI"/>
          </w:rPr>
          <w:t>2.2. Prihvatljive aktivnosti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_Toc452453571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12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2" w:history="1">
        <w:r w:rsidR="00D07CCC" w:rsidRPr="00E326F9">
          <w:rPr>
            <w:rStyle w:val="Hiperveza"/>
            <w:noProof/>
            <w:lang w:val="sl-SI"/>
          </w:rPr>
          <w:t>2.3. Prihvatljivost izdataka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_Toc452453572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12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3" w:history="1">
        <w:r w:rsidR="00D07CCC" w:rsidRPr="00E326F9">
          <w:rPr>
            <w:rStyle w:val="Hiperveza"/>
            <w:rFonts w:ascii="Cambria" w:eastAsia="SimSun" w:hAnsi="Cambria"/>
            <w:bCs/>
          </w:rPr>
          <w:t>3. Postupak prijave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13</w:t>
        </w:r>
        <w:r w:rsidR="00D07CCC">
          <w:rPr>
            <w:webHidden/>
          </w:rPr>
          <w:fldChar w:fldCharType="end"/>
        </w:r>
      </w:hyperlink>
    </w:p>
    <w:p w:rsidR="00D07CCC" w:rsidRPr="00BE0F23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4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3.1. Predaja prijave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_Toc452453574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8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3.2. Dodatne informacije – pitanja i odgovori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_Toc452453578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15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9" w:history="1">
        <w:r w:rsidR="00D07CCC" w:rsidRPr="00E326F9">
          <w:rPr>
            <w:rStyle w:val="Hiperveza"/>
            <w:rFonts w:eastAsia="SimSun"/>
            <w:bCs/>
          </w:rPr>
          <w:t>4. Postupak dodjele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15</w:t>
        </w:r>
        <w:r w:rsidR="00D07CCC">
          <w:rPr>
            <w:webHidden/>
          </w:rPr>
          <w:fldChar w:fldCharType="end"/>
        </w:r>
      </w:hyperlink>
    </w:p>
    <w:p w:rsidR="00D07CCC" w:rsidRPr="00BE0F23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0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4.1 Administrativna provjera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_Toc452453580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16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3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4.2 Procjena kvalitete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_Toc452453583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17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A41F60" w:rsidRDefault="009B7A87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4" w:history="1">
        <w:r w:rsidR="00D07CCC" w:rsidRPr="00A41F60">
          <w:rPr>
            <w:rStyle w:val="Hiperveza"/>
            <w:rFonts w:cs="Lucida Sans Unicode"/>
            <w:noProof/>
          </w:rPr>
          <w:t>4.2.1.  Kriteriji prihvatljivosti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_Toc452453584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2A21CB">
          <w:rPr>
            <w:rStyle w:val="Hiperveza"/>
            <w:rFonts w:cs="Lucida Sans Unicode"/>
            <w:noProof/>
            <w:webHidden/>
          </w:rPr>
          <w:t>18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A41F60" w:rsidRDefault="009B7A87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5" w:history="1">
        <w:r w:rsidR="00D07CCC" w:rsidRPr="00A41F60">
          <w:rPr>
            <w:rStyle w:val="Hiperveza"/>
            <w:rFonts w:cs="Lucida Sans Unicode"/>
            <w:noProof/>
          </w:rPr>
          <w:t>4.2.2 Kriteriji dodjele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_Toc452453585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2A21CB">
          <w:rPr>
            <w:rStyle w:val="Hiperveza"/>
            <w:rFonts w:cs="Lucida Sans Unicode"/>
            <w:noProof/>
            <w:webHidden/>
          </w:rPr>
          <w:t>19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BE0F23" w:rsidRDefault="009B7A8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6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4.3. Odluka o financiranju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_Toc452453586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2A21CB">
          <w:rPr>
            <w:noProof/>
            <w:webHidden/>
          </w:rPr>
          <w:t>19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9B7A8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87" w:history="1">
        <w:r w:rsidR="00D07CCC" w:rsidRPr="00E326F9">
          <w:rPr>
            <w:rStyle w:val="Hiperveza"/>
          </w:rPr>
          <w:t>5. Ugovor o dodjeli bespovratnih sredstava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_Toc452453587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2A21CB">
          <w:rPr>
            <w:webHidden/>
          </w:rPr>
          <w:t>20</w:t>
        </w:r>
        <w:r w:rsidR="00D07CCC">
          <w:rPr>
            <w:webHidden/>
          </w:rPr>
          <w:fldChar w:fldCharType="end"/>
        </w:r>
      </w:hyperlink>
    </w:p>
    <w:p w:rsidR="00233171" w:rsidRPr="00923A72" w:rsidRDefault="00512481" w:rsidP="0051248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fldChar w:fldCharType="end"/>
      </w:r>
    </w:p>
    <w:p w:rsidR="00233171" w:rsidRPr="00923A72" w:rsidRDefault="0023317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br w:type="page"/>
      </w:r>
    </w:p>
    <w:p w:rsidR="005678BA" w:rsidRDefault="005678BA" w:rsidP="005678BA"/>
    <w:p w:rsidR="001342BE" w:rsidRPr="00233171" w:rsidRDefault="001342BE" w:rsidP="00233171">
      <w:pPr>
        <w:pStyle w:val="Naslov1"/>
        <w:rPr>
          <w:rFonts w:eastAsia="Calibri"/>
          <w:color w:val="auto"/>
        </w:rPr>
      </w:pPr>
      <w:bookmarkStart w:id="43" w:name="_Toc445990690"/>
      <w:bookmarkStart w:id="44" w:name="_Toc452453563"/>
      <w:r w:rsidRPr="00233171">
        <w:rPr>
          <w:rFonts w:eastAsia="Times New Roman"/>
          <w:noProof/>
          <w:color w:val="auto"/>
        </w:rPr>
        <w:t>Pojmovi i kratice</w:t>
      </w:r>
      <w:bookmarkEnd w:id="43"/>
      <w:bookmarkEnd w:id="44"/>
    </w:p>
    <w:p w:rsidR="001342BE" w:rsidRPr="003B6C73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3B6C73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3B6C73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3B6C73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645E52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645E52">
        <w:rPr>
          <w:rFonts w:asciiTheme="minorHAnsi" w:eastAsia="Times New Roman" w:hAnsiTheme="minorHAnsi" w:cs="Lucida Sans Unicode"/>
          <w:sz w:val="24"/>
          <w:szCs w:val="24"/>
        </w:rPr>
        <w:t xml:space="preserve"> o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>funkcioniranju Europske unije (UFEU), odnosno potpore male vrijednosti čiji je način dodjele određen u Uredbi o potporama male vrijednosti.</w:t>
      </w:r>
    </w:p>
    <w:p w:rsidR="00707234" w:rsidRPr="00BE5C66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BE5C66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BE5C66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BE5C66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BE5C66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BE5C66">
        <w:rPr>
          <w:rFonts w:asciiTheme="minorHAnsi" w:eastAsia="Times New Roman" w:hAnsiTheme="minorHAnsi" w:cs="Lucida Sans Unicode"/>
          <w:sz w:val="24"/>
          <w:szCs w:val="24"/>
        </w:rPr>
        <w:t>lj</w:t>
      </w:r>
      <w:r w:rsidR="00D15586">
        <w:rPr>
          <w:rFonts w:asciiTheme="minorHAnsi" w:eastAsia="Times New Roman" w:hAnsiTheme="minorHAnsi" w:cs="Lucida Sans Unicode"/>
          <w:sz w:val="24"/>
          <w:szCs w:val="24"/>
        </w:rPr>
        <w:t>.</w:t>
      </w:r>
    </w:p>
    <w:p w:rsidR="00140BEC" w:rsidRPr="001638A6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1638A6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1638A6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1638A6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60AAE" w:rsidRDefault="008A11B9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Korisnik/</w:t>
      </w:r>
      <w:r w:rsidR="00B831FA" w:rsidRPr="00B831FA">
        <w:rPr>
          <w:rFonts w:asciiTheme="minorHAnsi" w:eastAsia="Times New Roman" w:hAnsiTheme="minorHAnsi"/>
          <w:b/>
          <w:sz w:val="24"/>
          <w:szCs w:val="24"/>
        </w:rPr>
        <w:t>Korisnička institucija</w:t>
      </w:r>
      <w:r w:rsidR="00B831FA">
        <w:rPr>
          <w:rFonts w:asciiTheme="minorHAnsi" w:eastAsia="Times New Roman" w:hAnsiTheme="minorHAnsi"/>
          <w:sz w:val="24"/>
          <w:szCs w:val="24"/>
        </w:rPr>
        <w:t xml:space="preserve"> </w:t>
      </w:r>
      <w:r w:rsidR="00A02196" w:rsidRPr="00A02196">
        <w:rPr>
          <w:rFonts w:asciiTheme="minorHAnsi" w:eastAsia="Times New Roman" w:hAnsiTheme="minorHAnsi"/>
          <w:b/>
          <w:sz w:val="24"/>
          <w:szCs w:val="24"/>
        </w:rPr>
        <w:t>(KI)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</w:t>
      </w:r>
      <w:r w:rsidR="00B831FA">
        <w:rPr>
          <w:rFonts w:asciiTheme="minorHAnsi" w:eastAsia="Times New Roman" w:hAnsiTheme="minorHAnsi"/>
          <w:sz w:val="24"/>
          <w:szCs w:val="24"/>
        </w:rPr>
        <w:t>za potrebe Poziva p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>odrazumijeva Tijelo državne ili javne uprave ili unutarnj</w:t>
      </w:r>
      <w:r w:rsidR="00645E52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</w:t>
      </w:r>
      <w:r w:rsidR="00C527C5">
        <w:rPr>
          <w:rFonts w:asciiTheme="minorHAnsi" w:eastAsia="Times New Roman" w:hAnsiTheme="minorHAnsi"/>
          <w:sz w:val="24"/>
          <w:szCs w:val="24"/>
        </w:rPr>
        <w:t>ustrojstvenu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 jedinic</w:t>
      </w:r>
      <w:r w:rsidR="000D665E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tijela državne ili javne uprave, koja priprema i provodi operacije unutar OP ULJP</w:t>
      </w:r>
      <w:r w:rsidR="005B16F5">
        <w:rPr>
          <w:rFonts w:asciiTheme="minorHAnsi" w:eastAsia="Times New Roman" w:hAnsiTheme="minorHAnsi"/>
          <w:sz w:val="24"/>
          <w:szCs w:val="24"/>
        </w:rPr>
        <w:t>. Također podrazumijeva us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pješn</w:t>
      </w:r>
      <w:r w:rsidR="005B1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>
        <w:rPr>
          <w:rFonts w:asciiTheme="minorHAnsi" w:eastAsia="Times New Roman" w:hAnsiTheme="minorHAnsi"/>
          <w:sz w:val="24"/>
          <w:szCs w:val="24"/>
        </w:rPr>
        <w:t>a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</w:t>
      </w:r>
    </w:p>
    <w:p w:rsidR="00A02196" w:rsidRDefault="00A02196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Kod državnih potpora – podrazumijeva poslovni subjekt koji je primio potporu.</w:t>
      </w:r>
    </w:p>
    <w:p w:rsidR="00413011" w:rsidRDefault="000B0442" w:rsidP="00413011">
      <w:pPr>
        <w:pStyle w:val="xxRulesParagraph"/>
        <w:spacing w:after="120"/>
        <w:rPr>
          <w:b w:val="0"/>
        </w:rPr>
      </w:pPr>
      <w:r w:rsidRPr="003B6C73">
        <w:rPr>
          <w:noProof/>
        </w:rPr>
        <w:t xml:space="preserve">Kriteriji dodjele (KD) </w:t>
      </w:r>
      <w:r w:rsidR="005F5BFA" w:rsidRPr="005F5BFA">
        <w:rPr>
          <w:b w:val="0"/>
        </w:rPr>
        <w:t xml:space="preserve">kriteriji koje odobrava </w:t>
      </w:r>
      <w:r w:rsidR="00413011">
        <w:rPr>
          <w:b w:val="0"/>
        </w:rPr>
        <w:t>Odbor za praćenje (</w:t>
      </w:r>
      <w:proofErr w:type="spellStart"/>
      <w:r w:rsidR="005F5BFA" w:rsidRPr="005F5BFA">
        <w:rPr>
          <w:b w:val="0"/>
        </w:rPr>
        <w:t>OzP</w:t>
      </w:r>
      <w:proofErr w:type="spellEnd"/>
      <w:r w:rsidR="00413011">
        <w:rPr>
          <w:b w:val="0"/>
        </w:rPr>
        <w:t>)</w:t>
      </w:r>
      <w:r w:rsidR="005F5BFA" w:rsidRPr="005F5BFA">
        <w:rPr>
          <w:b w:val="0"/>
        </w:rPr>
        <w:t xml:space="preserve"> i koji se primjenjuju za ocjenjivanje kvalitete svih projektnih prijedloga unutar OP-a</w:t>
      </w:r>
      <w:r w:rsidRPr="005F5BFA">
        <w:rPr>
          <w:b w:val="0"/>
        </w:rPr>
        <w:t>.</w:t>
      </w:r>
      <w:r w:rsidR="00413011">
        <w:rPr>
          <w:b w:val="0"/>
        </w:rPr>
        <w:t xml:space="preserve"> Kriteriji dodjele uključuju Kriterije odabira i Kriterije prihvatljivosti.</w:t>
      </w:r>
    </w:p>
    <w:p w:rsidR="001342B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Default="001342BE" w:rsidP="0002708D">
      <w:pPr>
        <w:pStyle w:val="xxRulesParagraph"/>
        <w:spacing w:after="120"/>
      </w:pPr>
      <w:r w:rsidRPr="003B6C73">
        <w:rPr>
          <w:noProof/>
        </w:rPr>
        <w:t xml:space="preserve">Kriteriji prihvatljivosti (KP) </w:t>
      </w:r>
      <w:r w:rsidR="0033554D" w:rsidRPr="0033554D">
        <w:rPr>
          <w:b w:val="0"/>
        </w:rPr>
        <w:t xml:space="preserve">kriteriji koji proizlaze iz zahtjeva nacionalnih propisa i propisa EU, potvrđuje ih </w:t>
      </w:r>
      <w:r w:rsidR="0033554D" w:rsidRPr="0033554D">
        <w:rPr>
          <w:b w:val="0"/>
          <w:i/>
        </w:rPr>
        <w:t>Odbor za praćenje</w:t>
      </w:r>
      <w:r w:rsidR="0033554D" w:rsidRPr="0033554D">
        <w:rPr>
          <w:b w:val="0"/>
        </w:rPr>
        <w:t xml:space="preserve"> (</w:t>
      </w:r>
      <w:proofErr w:type="spellStart"/>
      <w:r w:rsidR="0033554D" w:rsidRPr="0033554D">
        <w:rPr>
          <w:b w:val="0"/>
        </w:rPr>
        <w:t>OzP</w:t>
      </w:r>
      <w:proofErr w:type="spellEnd"/>
      <w:r w:rsidR="0033554D" w:rsidRPr="0033554D">
        <w:rPr>
          <w:b w:val="0"/>
        </w:rPr>
        <w:t>) te moraju biti ispunjeni kako bi se projektni prijedlog mogao uzeti u obzir za financiranje</w:t>
      </w:r>
      <w:r w:rsidR="00240BBD" w:rsidRPr="00867C6E">
        <w:rPr>
          <w:b w:val="0"/>
        </w:rPr>
        <w:t>.</w:t>
      </w:r>
    </w:p>
    <w:p w:rsidR="004C1B9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MIS 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3B6C73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BE5C66" w:rsidRDefault="00BE5C66" w:rsidP="0002708D">
      <w:pPr>
        <w:pStyle w:val="xxRulesParagraph"/>
        <w:spacing w:after="120"/>
      </w:pPr>
    </w:p>
    <w:p w:rsidR="00BE5C66" w:rsidRDefault="00BE5C66" w:rsidP="0002708D">
      <w:pPr>
        <w:pStyle w:val="xxRulesParagraph"/>
        <w:spacing w:after="120"/>
      </w:pPr>
    </w:p>
    <w:p w:rsidR="00645E52" w:rsidRDefault="00240BBD" w:rsidP="0002708D">
      <w:pPr>
        <w:pStyle w:val="xxRulesParagraph"/>
        <w:spacing w:after="120"/>
        <w:rPr>
          <w:b w:val="0"/>
        </w:rPr>
      </w:pPr>
      <w:r w:rsidRPr="00240BBD">
        <w:t>Nadležno tijelo</w:t>
      </w:r>
      <w:r w:rsidRPr="00335A4D">
        <w:t xml:space="preserve"> </w:t>
      </w:r>
      <w:r w:rsidRPr="00867C6E">
        <w:rPr>
          <w:b w:val="0"/>
        </w:rPr>
        <w:t>je tijelo nadležno za pojedini projekt sukladno Sporazumu</w:t>
      </w:r>
      <w:r w:rsidR="00F35DF5">
        <w:rPr>
          <w:b w:val="0"/>
        </w:rPr>
        <w:t xml:space="preserve"> koji sklapaju Upravljačko tijelo i Posredničko tijelo razine 1 i/ili Posredničko tijelo razine 2,</w:t>
      </w:r>
      <w:r w:rsidRPr="00867C6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>
        <w:rPr>
          <w:b w:val="0"/>
        </w:rPr>
        <w:t xml:space="preserve"> </w:t>
      </w:r>
      <w:r w:rsidR="00FF2813" w:rsidRPr="00FF2813">
        <w:rPr>
          <w:b w:val="0"/>
        </w:rPr>
        <w:t xml:space="preserve">o tijelima u sustavima upravljanja i kontrole korištenja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socijalnog fonda,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fonda za regionalni razvoj i </w:t>
      </w:r>
      <w:r w:rsidR="00FF2813">
        <w:rPr>
          <w:b w:val="0"/>
        </w:rPr>
        <w:t>K</w:t>
      </w:r>
      <w:r w:rsidR="00FF2813" w:rsidRPr="00FF2813">
        <w:rPr>
          <w:b w:val="0"/>
        </w:rPr>
        <w:t>ohezijskog fonda, u vezi s ciljem »</w:t>
      </w:r>
      <w:r w:rsidR="00FA7FE3">
        <w:rPr>
          <w:b w:val="0"/>
        </w:rPr>
        <w:t>U</w:t>
      </w:r>
      <w:r w:rsidR="00FF2813" w:rsidRPr="00FF2813">
        <w:rPr>
          <w:b w:val="0"/>
        </w:rPr>
        <w:t>laganje za rast i radna mjesta«</w:t>
      </w:r>
      <w:r w:rsidR="00FF2813" w:rsidRPr="00867C6E">
        <w:rPr>
          <w:b w:val="0"/>
        </w:rPr>
        <w:t xml:space="preserve">). </w:t>
      </w:r>
    </w:p>
    <w:p w:rsidR="00323A47" w:rsidRPr="00867C6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Default="00323A47" w:rsidP="0002708D">
      <w:pPr>
        <w:pStyle w:val="xxRulesParagraph"/>
        <w:spacing w:after="120"/>
        <w:rPr>
          <w:rStyle w:val="longtext"/>
          <w:b w:val="0"/>
        </w:rPr>
      </w:pPr>
      <w:r w:rsidRPr="00B62268">
        <w:t>Partner</w:t>
      </w:r>
      <w:r w:rsidR="00645E52">
        <w:t xml:space="preserve"> </w:t>
      </w:r>
      <w:r w:rsidR="00240BBD" w:rsidRPr="00645E52">
        <w:rPr>
          <w:rStyle w:val="hps"/>
          <w:b w:val="0"/>
        </w:rPr>
        <w:t xml:space="preserve">je </w:t>
      </w:r>
      <w:r w:rsidR="001A2467">
        <w:rPr>
          <w:rStyle w:val="hps"/>
          <w:b w:val="0"/>
        </w:rPr>
        <w:t xml:space="preserve">institucija evidentirana u odobrenom </w:t>
      </w:r>
      <w:r w:rsidR="0068251E">
        <w:rPr>
          <w:rStyle w:val="hps"/>
          <w:b w:val="0"/>
        </w:rPr>
        <w:t>S</w:t>
      </w:r>
      <w:r w:rsidR="001A2467">
        <w:rPr>
          <w:rStyle w:val="hps"/>
          <w:b w:val="0"/>
        </w:rPr>
        <w:t>ažetku operacije.</w:t>
      </w:r>
    </w:p>
    <w:p w:rsidR="000B0442" w:rsidRPr="00DD7264" w:rsidRDefault="00240BBD" w:rsidP="00594875">
      <w:pPr>
        <w:pStyle w:val="xxRulesParagraph"/>
        <w:spacing w:after="120"/>
        <w:rPr>
          <w:noProof/>
        </w:rPr>
      </w:pPr>
      <w:r w:rsidRPr="00240BBD">
        <w:t xml:space="preserve">Postupak dodjele bespovratnih sredstava </w:t>
      </w:r>
      <w:r w:rsidRPr="00923A72">
        <w:rPr>
          <w:b w:val="0"/>
        </w:rPr>
        <w:t xml:space="preserve">je sveobuhvatni postupak odabira projektnih prijedloga koji se sastoji od </w:t>
      </w:r>
      <w:r w:rsidR="00594875">
        <w:rPr>
          <w:b w:val="0"/>
        </w:rPr>
        <w:t>tri faze: administrativne provjere, procjene kvalitete i donošenja Odluke o financiranju</w:t>
      </w:r>
      <w:r w:rsidRPr="00DD7264">
        <w:rPr>
          <w:noProof/>
        </w:rPr>
        <w:t xml:space="preserve"> </w:t>
      </w:r>
    </w:p>
    <w:p w:rsidR="00CC603E" w:rsidRDefault="00431D96" w:rsidP="001A2467">
      <w:pPr>
        <w:jc w:val="both"/>
      </w:pPr>
      <w:r w:rsidRPr="000B0442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0B0442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0B0442">
        <w:rPr>
          <w:rFonts w:asciiTheme="minorHAnsi" w:hAnsiTheme="minorHAnsi"/>
          <w:sz w:val="24"/>
          <w:szCs w:val="24"/>
        </w:rPr>
        <w:t xml:space="preserve">je </w:t>
      </w:r>
      <w:r w:rsidR="001A2467">
        <w:rPr>
          <w:rFonts w:asciiTheme="minorHAnsi" w:hAnsiTheme="minorHAnsi"/>
          <w:sz w:val="24"/>
          <w:szCs w:val="24"/>
        </w:rPr>
        <w:t>t</w:t>
      </w:r>
      <w:r w:rsidR="00CC603E" w:rsidRPr="006A3167">
        <w:rPr>
          <w:rFonts w:asciiTheme="minorHAnsi" w:hAnsiTheme="minorHAnsi"/>
          <w:sz w:val="24"/>
          <w:szCs w:val="24"/>
        </w:rPr>
        <w:t xml:space="preserve">ijelo državne i javne uprave </w:t>
      </w:r>
      <w:r w:rsidR="00CC603E" w:rsidRPr="00B87240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="00CC603E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CC603E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 w:rsidR="00CC603E">
        <w:rPr>
          <w:rFonts w:asciiTheme="minorHAnsi" w:hAnsiTheme="minorHAnsi"/>
          <w:sz w:val="24"/>
          <w:szCs w:val="24"/>
        </w:rPr>
        <w:t>.</w:t>
      </w:r>
      <w:r w:rsidR="00CC603E" w:rsidRPr="00B87240">
        <w:rPr>
          <w:rFonts w:asciiTheme="minorHAnsi" w:hAnsiTheme="minorHAnsi"/>
          <w:sz w:val="24"/>
          <w:szCs w:val="24"/>
        </w:rPr>
        <w:t xml:space="preserve"> </w:t>
      </w:r>
    </w:p>
    <w:p w:rsidR="00240BBD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23A72" w:rsidRDefault="00240BBD" w:rsidP="00336793">
      <w:pPr>
        <w:spacing w:after="120" w:line="240" w:lineRule="auto"/>
        <w:ind w:right="-57"/>
        <w:jc w:val="both"/>
        <w:rPr>
          <w:sz w:val="24"/>
          <w:szCs w:val="24"/>
        </w:rPr>
      </w:pPr>
      <w:r w:rsidRPr="00867C6E">
        <w:rPr>
          <w:b/>
          <w:sz w:val="24"/>
          <w:szCs w:val="24"/>
        </w:rPr>
        <w:t>Posredničko tijelo razine 2</w:t>
      </w:r>
      <w:r w:rsidR="00867C6E" w:rsidRPr="00867C6E">
        <w:rPr>
          <w:b/>
          <w:sz w:val="24"/>
          <w:szCs w:val="24"/>
        </w:rPr>
        <w:t xml:space="preserve"> </w:t>
      </w:r>
      <w:r w:rsidRPr="00867C6E">
        <w:rPr>
          <w:sz w:val="24"/>
          <w:szCs w:val="24"/>
        </w:rPr>
        <w:t xml:space="preserve">je nacionalno tijelo utvrđeno </w:t>
      </w:r>
      <w:r w:rsidR="000B044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3B6C73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="00923A7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ocjenjivanj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>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projektnih prijedloga prema kriterijima odabira.</w:t>
      </w:r>
    </w:p>
    <w:p w:rsidR="00BA4DBC" w:rsidRPr="003B6C73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E3367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E336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E3367">
        <w:rPr>
          <w:sz w:val="24"/>
          <w:szCs w:val="24"/>
        </w:rPr>
        <w:t xml:space="preserve">predstavlja programski dokument </w:t>
      </w:r>
      <w:r w:rsidR="0072459C">
        <w:rPr>
          <w:sz w:val="24"/>
          <w:szCs w:val="24"/>
        </w:rPr>
        <w:t xml:space="preserve">(prvi u nizu projektne dokumentacije) </w:t>
      </w:r>
      <w:r w:rsidR="00F757AF" w:rsidRPr="00EE3367">
        <w:rPr>
          <w:sz w:val="24"/>
          <w:szCs w:val="24"/>
        </w:rPr>
        <w:t xml:space="preserve">kojim </w:t>
      </w:r>
      <w:r w:rsidR="0076607A">
        <w:rPr>
          <w:sz w:val="24"/>
          <w:szCs w:val="24"/>
        </w:rPr>
        <w:t>KI</w:t>
      </w:r>
      <w:r w:rsidR="00F757AF" w:rsidRPr="004C1B9F">
        <w:rPr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>
        <w:rPr>
          <w:sz w:val="24"/>
          <w:szCs w:val="24"/>
        </w:rPr>
        <w:t xml:space="preserve"> čije</w:t>
      </w:r>
      <w:r w:rsidR="00F757AF" w:rsidRPr="004C1B9F">
        <w:rPr>
          <w:sz w:val="24"/>
          <w:szCs w:val="24"/>
        </w:rPr>
        <w:t xml:space="preserve"> odobrenje, od strane UT-a, predstavlja preduvjet za prijavu na predmetni Poziv. </w:t>
      </w:r>
    </w:p>
    <w:p w:rsidR="00BA4DBC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3B6C73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4C1B9F" w:rsidRDefault="004813DF" w:rsidP="00342C39">
      <w:pPr>
        <w:pStyle w:val="xxRulesParagraph"/>
        <w:spacing w:after="120"/>
        <w:rPr>
          <w:b w:val="0"/>
        </w:rPr>
      </w:pPr>
      <w:r w:rsidRPr="00BA210A">
        <w:rPr>
          <w:rStyle w:val="hps"/>
        </w:rPr>
        <w:t>Unaprijed određeni</w:t>
      </w:r>
      <w:r w:rsidRPr="00BA210A">
        <w:rPr>
          <w:rStyle w:val="longtext"/>
        </w:rPr>
        <w:t xml:space="preserve"> </w:t>
      </w:r>
      <w:r w:rsidRPr="00BA210A">
        <w:rPr>
          <w:rStyle w:val="hps"/>
        </w:rPr>
        <w:t>prijavitelj</w:t>
      </w:r>
      <w:r w:rsidRPr="00BA210A">
        <w:rPr>
          <w:rStyle w:val="longtext"/>
        </w:rPr>
        <w:t xml:space="preserve"> </w:t>
      </w:r>
      <w:r w:rsidRPr="004C1B9F">
        <w:rPr>
          <w:rStyle w:val="hps"/>
          <w:b w:val="0"/>
        </w:rPr>
        <w:t>je prijavitelj koji 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određen za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provedbu projekata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utvrđenih hrvatskim</w:t>
      </w:r>
      <w:r w:rsidRPr="004C1B9F">
        <w:rPr>
          <w:rStyle w:val="longtext"/>
          <w:b w:val="0"/>
        </w:rPr>
        <w:t xml:space="preserve"> zakonima, </w:t>
      </w:r>
      <w:r w:rsidRPr="004C1B9F">
        <w:rPr>
          <w:rStyle w:val="hps"/>
          <w:b w:val="0"/>
        </w:rPr>
        <w:t>nacionalnim/regionalnim strateškim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dokumentima</w:t>
      </w:r>
      <w:r w:rsidRPr="004C1B9F">
        <w:rPr>
          <w:rStyle w:val="longtext"/>
          <w:b w:val="0"/>
        </w:rPr>
        <w:t xml:space="preserve">,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Ugovorom o pristupanju 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OP-om i/ili PD-om</w:t>
      </w:r>
      <w:r w:rsidRPr="004C1B9F">
        <w:rPr>
          <w:rStyle w:val="longtext"/>
          <w:b w:val="0"/>
        </w:rPr>
        <w:t xml:space="preserve">. </w:t>
      </w:r>
      <w:r w:rsidRPr="004C1B9F">
        <w:rPr>
          <w:rStyle w:val="hps"/>
          <w:b w:val="0"/>
        </w:rPr>
        <w:t>Ima isključivu nadležnost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zemljopisnog područja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sukladno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propisima</w:t>
      </w:r>
      <w:r w:rsidRPr="004C1B9F">
        <w:rPr>
          <w:rStyle w:val="longtext"/>
          <w:b w:val="0"/>
        </w:rPr>
        <w:t xml:space="preserve">, ili </w:t>
      </w:r>
      <w:r w:rsidRPr="004C1B9F">
        <w:rPr>
          <w:rStyle w:val="hps"/>
          <w:b w:val="0"/>
        </w:rPr>
        <w:t>pravna osoba/ osoba privatnog prava registrirana za obavljanje gospodarske djelatnosti i subjekt malog gospodarstva koja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i) </w:t>
      </w:r>
      <w:r w:rsidRPr="004C1B9F">
        <w:rPr>
          <w:rStyle w:val="hps"/>
          <w:b w:val="0"/>
        </w:rPr>
        <w:t>jedina djeluje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proofErr w:type="spellStart"/>
      <w:r w:rsidRPr="004C1B9F">
        <w:rPr>
          <w:rStyle w:val="longtext"/>
          <w:b w:val="0"/>
        </w:rPr>
        <w:t>ii</w:t>
      </w:r>
      <w:proofErr w:type="spellEnd"/>
      <w:r w:rsidRPr="004C1B9F">
        <w:rPr>
          <w:rStyle w:val="longtext"/>
          <w:b w:val="0"/>
        </w:rPr>
        <w:t xml:space="preserve">) je </w:t>
      </w:r>
      <w:r w:rsidRPr="004C1B9F">
        <w:rPr>
          <w:rStyle w:val="hps"/>
          <w:b w:val="0"/>
        </w:rPr>
        <w:t>sposobna za rad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zemljopisnom 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sredstava, uzimajući o obzir sve činjenice i propise.</w:t>
      </w:r>
      <w:r w:rsidRPr="004C1B9F">
        <w:rPr>
          <w:b w:val="0"/>
        </w:rPr>
        <w:t xml:space="preserve"> </w:t>
      </w:r>
    </w:p>
    <w:p w:rsidR="00BA4DBC" w:rsidRPr="004C1B9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>5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. Uredbe  o tijelima u sustavima upravljanja i kontrole korištenja ESF, EFRR i KF, u vezi s ciljem „Ulaganje za rast i radna mjesta“ </w:t>
      </w:r>
      <w:r w:rsidR="004C1B9F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852FD8" w:rsidRDefault="00852FD8" w:rsidP="00923A72">
      <w:pPr>
        <w:pStyle w:val="Podnaslov"/>
        <w:rPr>
          <w:rFonts w:eastAsia="Times New Roman"/>
          <w:b/>
          <w:i w:val="0"/>
          <w:color w:val="auto"/>
        </w:rPr>
      </w:pPr>
    </w:p>
    <w:p w:rsidR="00323A47" w:rsidRPr="00923A72" w:rsidRDefault="00323A47" w:rsidP="00923A72">
      <w:pPr>
        <w:pStyle w:val="Podnaslov"/>
        <w:rPr>
          <w:rFonts w:eastAsia="Times New Roman"/>
          <w:b/>
          <w:i w:val="0"/>
          <w:color w:val="auto"/>
        </w:rPr>
      </w:pPr>
      <w:r w:rsidRPr="00233171">
        <w:rPr>
          <w:rFonts w:eastAsia="Times New Roman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41AFB" w:rsidTr="00342C39">
        <w:trPr>
          <w:trHeight w:val="339"/>
        </w:trPr>
        <w:tc>
          <w:tcPr>
            <w:tcW w:w="1515" w:type="dxa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241AFB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>
              <w:rPr>
                <w:rFonts w:asciiTheme="minorHAnsi" w:eastAsia="Times New Roman" w:hAnsiTheme="minorHAnsi" w:cs="Lucida Sans Unicode"/>
                <w:sz w:val="24"/>
                <w:szCs w:val="24"/>
              </w:rPr>
              <w:t>ocjenu</w:t>
            </w:r>
            <w:r w:rsidR="004813DF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4C1B9F" w:rsidTr="00342C39">
        <w:tc>
          <w:tcPr>
            <w:tcW w:w="1515" w:type="dxa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41AFB" w:rsidTr="00342C39">
        <w:trPr>
          <w:trHeight w:val="172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OP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41AFB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>
              <w:rPr>
                <w:rFonts w:asciiTheme="minorHAnsi" w:eastAsia="Times New Roman" w:hAnsiTheme="minorHAnsi" w:cs="Lucida Sans Unicode"/>
                <w:sz w:val="24"/>
                <w:szCs w:val="24"/>
              </w:rPr>
              <w:t>o</w:t>
            </w:r>
            <w:r w:rsidR="0050022E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peracije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41AFB" w:rsidTr="00342C39">
        <w:trPr>
          <w:trHeight w:val="423"/>
        </w:trPr>
        <w:tc>
          <w:tcPr>
            <w:tcW w:w="1515" w:type="dxa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241AFB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5B7A41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</w:p>
        </w:tc>
      </w:tr>
    </w:tbl>
    <w:p w:rsidR="00BA4DBC" w:rsidRPr="00F771E3" w:rsidRDefault="002706CA" w:rsidP="003B6C73">
      <w:pPr>
        <w:pStyle w:val="Naslov1"/>
        <w:rPr>
          <w:rFonts w:eastAsia="Times New Roman"/>
          <w:noProof/>
        </w:rPr>
      </w:pPr>
      <w:bookmarkStart w:id="45" w:name="_Toc445990691"/>
      <w:bookmarkStart w:id="46" w:name="_Toc452453564"/>
      <w:r w:rsidRPr="00F771E3">
        <w:rPr>
          <w:rFonts w:eastAsia="Times New Roman"/>
          <w:noProof/>
          <w:color w:val="auto"/>
        </w:rPr>
        <w:t>Zakonodavni okvir</w:t>
      </w:r>
      <w:bookmarkEnd w:id="45"/>
      <w:bookmarkEnd w:id="46"/>
    </w:p>
    <w:p w:rsidR="00BA4DBC" w:rsidRPr="00F771E3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B6C73">
        <w:rPr>
          <w:rFonts w:asciiTheme="minorHAnsi" w:hAnsiTheme="minorHAnsi"/>
          <w:sz w:val="24"/>
          <w:szCs w:val="24"/>
        </w:rPr>
        <w:t>Ministarstvo rada i mirovinskoga sustava</w:t>
      </w:r>
      <w:r w:rsidR="004813DF">
        <w:rPr>
          <w:rFonts w:asciiTheme="minorHAnsi" w:hAnsiTheme="minorHAnsi"/>
          <w:sz w:val="24"/>
          <w:szCs w:val="24"/>
        </w:rPr>
        <w:t>, Upravljačko tijelo OP ULJP-a</w:t>
      </w:r>
      <w:r w:rsidRPr="003B6C73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5C3ABA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5C3ABA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eastAsia="Times New Roman" w:cs="Lucida Sans Unicode"/>
          <w:noProof/>
          <w:sz w:val="24"/>
          <w:szCs w:val="24"/>
        </w:rPr>
      </w:pPr>
      <w:r w:rsidRPr="003B6C73">
        <w:rPr>
          <w:rFonts w:eastAsia="Times New Roman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>
        <w:rPr>
          <w:rFonts w:eastAsia="Times New Roman" w:cs="Lucida Sans Unicode"/>
          <w:noProof/>
          <w:sz w:val="24"/>
          <w:szCs w:val="24"/>
        </w:rPr>
        <w:t>, 14/2016</w:t>
      </w:r>
      <w:r w:rsidRPr="003B6C73">
        <w:rPr>
          <w:rFonts w:eastAsia="Times New Roman" w:cs="Lucida Sans Unicode"/>
          <w:noProof/>
          <w:sz w:val="24"/>
          <w:szCs w:val="24"/>
        </w:rPr>
        <w:t>)</w:t>
      </w:r>
    </w:p>
    <w:p w:rsidR="00852FD8" w:rsidRDefault="00852FD8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7" w:name="_Toc372013300"/>
      <w:bookmarkStart w:id="48" w:name="_Toc445990692"/>
      <w:bookmarkStart w:id="49" w:name="_Toc452453565"/>
    </w:p>
    <w:p w:rsidR="00BA4DBC" w:rsidRPr="00D2479A" w:rsidRDefault="006D02D6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r w:rsidRPr="00D2479A">
        <w:rPr>
          <w:rFonts w:asciiTheme="majorHAnsi" w:eastAsia="SimSun" w:hAnsiTheme="majorHAnsi"/>
          <w:b/>
          <w:bCs/>
          <w:sz w:val="28"/>
          <w:szCs w:val="28"/>
        </w:rPr>
        <w:t xml:space="preserve">1. </w:t>
      </w:r>
      <w:r w:rsidR="00BA4DBC" w:rsidRPr="00D2479A">
        <w:rPr>
          <w:rFonts w:asciiTheme="majorHAnsi" w:eastAsia="SimSun" w:hAnsiTheme="majorHAnsi"/>
          <w:b/>
          <w:bCs/>
          <w:sz w:val="28"/>
          <w:szCs w:val="28"/>
        </w:rPr>
        <w:t>Predmet poziva i opće informacije</w:t>
      </w:r>
      <w:bookmarkEnd w:id="47"/>
      <w:bookmarkEnd w:id="48"/>
      <w:bookmarkEnd w:id="49"/>
    </w:p>
    <w:p w:rsidR="00BA4DBC" w:rsidRPr="003B6C73" w:rsidRDefault="00BA4DBC" w:rsidP="00B87240">
      <w:pPr>
        <w:spacing w:before="100" w:beforeAutospacing="1" w:after="0" w:afterAutospacing="1" w:line="240" w:lineRule="auto"/>
        <w:jc w:val="both"/>
        <w:rPr>
          <w:rFonts w:eastAsia="Times New Roman" w:cs="Calibri"/>
          <w:bCs/>
          <w:sz w:val="24"/>
          <w:szCs w:val="24"/>
        </w:rPr>
      </w:pPr>
      <w:bookmarkStart w:id="50" w:name="_Toc372013301"/>
      <w:r w:rsidRPr="003B6C73">
        <w:rPr>
          <w:rFonts w:eastAsia="Times New Roman" w:cs="Calibri"/>
          <w:sz w:val="24"/>
          <w:szCs w:val="24"/>
        </w:rPr>
        <w:t xml:space="preserve">Operativni program 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>Učinkoviti ljudski potencijali 2014.-2020.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 xml:space="preserve"> (OP ULJP) </w:t>
      </w:r>
      <w:r w:rsidRPr="003B6C73">
        <w:rPr>
          <w:rFonts w:eastAsia="Times New Roman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3B6C73">
        <w:rPr>
          <w:rFonts w:eastAsia="Times New Roman" w:cs="Calibri"/>
          <w:b/>
          <w:bCs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usvojen je Provedbenom odlukom Europske komisije od 17. prosinca 2014. godine</w:t>
      </w:r>
      <w:r w:rsidRPr="00F77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(C(2014)10150).</w:t>
      </w:r>
    </w:p>
    <w:p w:rsidR="00BA4DBC" w:rsidRPr="003B6C73" w:rsidRDefault="00BB39A6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O</w:t>
      </w:r>
      <w:r w:rsidR="00BA4DBC" w:rsidRPr="003B6C73">
        <w:rPr>
          <w:rFonts w:eastAsia="Times New Roman" w:cs="Calibri"/>
          <w:bCs/>
          <w:sz w:val="24"/>
          <w:szCs w:val="24"/>
        </w:rPr>
        <w:t>vim Pozivom tijelima za d</w:t>
      </w:r>
      <w:r w:rsidR="006D02D6">
        <w:rPr>
          <w:rFonts w:eastAsia="Times New Roman" w:cs="Calibri"/>
          <w:bCs/>
          <w:sz w:val="24"/>
          <w:szCs w:val="24"/>
        </w:rPr>
        <w:t>ostavu prijedloga operacija koje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će se financirati kao izravna dodjela sredstava u okviru Prioritetne osi </w:t>
      </w:r>
      <w:r w:rsidR="00221EDD">
        <w:rPr>
          <w:rFonts w:eastAsia="Times New Roman" w:cs="Calibri"/>
          <w:bCs/>
          <w:sz w:val="24"/>
          <w:szCs w:val="24"/>
        </w:rPr>
        <w:t>1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„</w:t>
      </w:r>
      <w:r w:rsidR="00221EDD">
        <w:rPr>
          <w:rFonts w:eastAsia="Times New Roman" w:cs="Calibri"/>
          <w:bCs/>
          <w:sz w:val="24"/>
          <w:szCs w:val="24"/>
        </w:rPr>
        <w:t xml:space="preserve">Visoka </w:t>
      </w:r>
      <w:proofErr w:type="spellStart"/>
      <w:r w:rsidR="00221EDD">
        <w:rPr>
          <w:rFonts w:eastAsia="Times New Roman" w:cs="Calibri"/>
          <w:bCs/>
          <w:sz w:val="24"/>
          <w:szCs w:val="24"/>
        </w:rPr>
        <w:t>zapošljivost</w:t>
      </w:r>
      <w:proofErr w:type="spellEnd"/>
      <w:r w:rsidR="00221EDD">
        <w:rPr>
          <w:rFonts w:eastAsia="Times New Roman" w:cs="Calibri"/>
          <w:bCs/>
          <w:sz w:val="24"/>
          <w:szCs w:val="24"/>
        </w:rPr>
        <w:t xml:space="preserve"> i mobilnost radne snage</w:t>
      </w:r>
      <w:r w:rsidR="008B01DA">
        <w:rPr>
          <w:rFonts w:eastAsia="Times New Roman" w:cs="Calibri"/>
          <w:bCs/>
          <w:sz w:val="24"/>
          <w:szCs w:val="24"/>
        </w:rPr>
        <w:t xml:space="preserve">“ </w:t>
      </w:r>
      <w:r w:rsidR="00BA4DBC" w:rsidRPr="003B6C73">
        <w:rPr>
          <w:rFonts w:eastAsia="Times New Roman" w:cs="Calibri"/>
          <w:bCs/>
          <w:sz w:val="24"/>
          <w:szCs w:val="24"/>
        </w:rPr>
        <w:t>Operativnog programa Učinkoviti ljudski potencijali 2014.-2020. odabrat će se za financiranje operacije u o</w:t>
      </w:r>
      <w:r w:rsidR="00BA4DBC" w:rsidRPr="004C1B9F">
        <w:rPr>
          <w:rFonts w:eastAsia="Times New Roman" w:cs="Calibri"/>
          <w:bCs/>
          <w:sz w:val="24"/>
          <w:szCs w:val="24"/>
        </w:rPr>
        <w:t>kviru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sljedećih investicijskih prioriteta</w:t>
      </w:r>
      <w:r w:rsidR="00D13AD2" w:rsidRPr="004C1B9F">
        <w:rPr>
          <w:rFonts w:eastAsia="Times New Roman" w:cs="Calibri"/>
          <w:bCs/>
          <w:sz w:val="24"/>
          <w:szCs w:val="24"/>
        </w:rPr>
        <w:t>,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koji su ujedno i ciljevi predmetnog Poziva:</w:t>
      </w:r>
    </w:p>
    <w:p w:rsidR="00BA4DBC" w:rsidRDefault="00BA4DBC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5051A0" w:rsidRPr="008D5B2E" w:rsidRDefault="00C20EA7" w:rsidP="008D5B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5051A0"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 w:rsidR="008D5B2E" w:rsidRPr="008D5B2E">
        <w:rPr>
          <w:rFonts w:eastAsia="Times New Roman" w:cs="Calibri"/>
          <w:b/>
          <w:bCs/>
          <w:sz w:val="24"/>
          <w:szCs w:val="24"/>
        </w:rPr>
        <w:t xml:space="preserve">8.i </w:t>
      </w:r>
      <w:r w:rsidR="008D5B2E" w:rsidRPr="00676035">
        <w:rPr>
          <w:rFonts w:eastAsia="Times New Roman" w:cs="Calibri"/>
          <w:bCs/>
          <w:sz w:val="24"/>
          <w:szCs w:val="24"/>
        </w:rPr>
        <w:t>„</w:t>
      </w:r>
      <w:r w:rsidR="008D5B2E" w:rsidRPr="008D5B2E">
        <w:rPr>
          <w:rFonts w:eastAsia="Times New Roman" w:cs="Calibri"/>
          <w:bCs/>
          <w:sz w:val="24"/>
          <w:szCs w:val="24"/>
        </w:rPr>
        <w:t>Pristup zapošljavanju za osobe koje traže posao i neaktivne osobe, uključujući one koji su dugotrajno nezaposleni i one koji su daleko od tržišta rada, kao i provedbom lokalnih inicijativa za zapošljavanje i potpore za mobilnost radne snage</w:t>
      </w:r>
      <w:r w:rsidR="008D5B2E">
        <w:rPr>
          <w:rFonts w:eastAsia="Times New Roman" w:cs="Calibri"/>
          <w:bCs/>
          <w:sz w:val="24"/>
          <w:szCs w:val="24"/>
        </w:rPr>
        <w:t>“</w:t>
      </w:r>
      <w:r w:rsidR="00124FAF" w:rsidRPr="008D5B2E">
        <w:rPr>
          <w:rFonts w:eastAsia="Times New Roman" w:cs="Calibri"/>
          <w:bCs/>
          <w:sz w:val="24"/>
          <w:szCs w:val="24"/>
        </w:rPr>
        <w:t>;</w:t>
      </w:r>
    </w:p>
    <w:p w:rsidR="00BA4DBC" w:rsidRDefault="00C20EA7" w:rsidP="00676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E54B2D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124FAF" w:rsidRPr="00E54B2D">
        <w:rPr>
          <w:rFonts w:eastAsia="Times New Roman" w:cs="Calibri"/>
          <w:b/>
          <w:bCs/>
          <w:sz w:val="24"/>
          <w:szCs w:val="24"/>
        </w:rPr>
        <w:t xml:space="preserve"> </w:t>
      </w:r>
      <w:r w:rsidR="00676035" w:rsidRPr="00E54B2D">
        <w:rPr>
          <w:rFonts w:eastAsia="Times New Roman" w:cs="Calibri"/>
          <w:b/>
          <w:bCs/>
          <w:sz w:val="24"/>
          <w:szCs w:val="24"/>
        </w:rPr>
        <w:t>8</w:t>
      </w:r>
      <w:r w:rsidR="00A304E9" w:rsidRPr="00E54B2D">
        <w:rPr>
          <w:rFonts w:eastAsia="Times New Roman" w:cs="Calibri"/>
          <w:b/>
          <w:bCs/>
          <w:sz w:val="24"/>
          <w:szCs w:val="24"/>
        </w:rPr>
        <w:t>.</w:t>
      </w:r>
      <w:r w:rsidR="00124FAF" w:rsidRPr="00E54B2D">
        <w:rPr>
          <w:rFonts w:eastAsia="Times New Roman" w:cs="Calibri"/>
          <w:b/>
          <w:bCs/>
          <w:sz w:val="24"/>
          <w:szCs w:val="24"/>
        </w:rPr>
        <w:t>ii</w:t>
      </w:r>
      <w:r w:rsidR="00124FAF" w:rsidRPr="00E54B2D">
        <w:rPr>
          <w:rFonts w:eastAsia="Times New Roman" w:cs="Calibri"/>
          <w:bCs/>
          <w:sz w:val="24"/>
          <w:szCs w:val="24"/>
        </w:rPr>
        <w:t xml:space="preserve"> </w:t>
      </w:r>
      <w:r w:rsidR="00E54B2D" w:rsidRPr="00E54B2D">
        <w:rPr>
          <w:rFonts w:eastAsia="Times New Roman" w:cs="Calibri"/>
          <w:b/>
          <w:bCs/>
          <w:sz w:val="24"/>
          <w:szCs w:val="24"/>
        </w:rPr>
        <w:t>(YEI)</w:t>
      </w:r>
      <w:r w:rsidR="00E54B2D">
        <w:rPr>
          <w:rFonts w:eastAsia="Times New Roman" w:cs="Calibri"/>
          <w:bCs/>
          <w:sz w:val="24"/>
          <w:szCs w:val="24"/>
        </w:rPr>
        <w:t xml:space="preserve"> </w:t>
      </w:r>
      <w:r w:rsidR="00124FAF" w:rsidRPr="00E54B2D">
        <w:rPr>
          <w:rFonts w:eastAsia="Times New Roman" w:cs="Calibri"/>
          <w:bCs/>
          <w:sz w:val="24"/>
          <w:szCs w:val="24"/>
        </w:rPr>
        <w:t>„</w:t>
      </w:r>
      <w:r w:rsidR="00676035" w:rsidRPr="00E54B2D">
        <w:rPr>
          <w:rFonts w:eastAsia="Times New Roman" w:cs="Calibri"/>
          <w:bCs/>
          <w:sz w:val="24"/>
          <w:szCs w:val="24"/>
        </w:rPr>
        <w:t>Održiva  integracija  mladih  na  tržište  rada (IZM),  posebno  onih  koji  nisu  zaposleni,  ne  obrazuju  se  niti osposobljavaju, uključujući mlade koji su izloženi riziku od socijalne isključenosti i mlade iz marginaliziranih</w:t>
      </w:r>
      <w:r w:rsidR="00E54B2D" w:rsidRPr="00E54B2D">
        <w:rPr>
          <w:rFonts w:eastAsia="Times New Roman" w:cs="Calibri"/>
          <w:bCs/>
          <w:sz w:val="24"/>
          <w:szCs w:val="24"/>
        </w:rPr>
        <w:t xml:space="preserve"> </w:t>
      </w:r>
      <w:r w:rsidR="00676035" w:rsidRPr="00E54B2D">
        <w:rPr>
          <w:rFonts w:eastAsia="Times New Roman" w:cs="Calibri"/>
          <w:bCs/>
          <w:sz w:val="24"/>
          <w:szCs w:val="24"/>
        </w:rPr>
        <w:t xml:space="preserve">zajednica, uključujući provedbom Garancije za </w:t>
      </w:r>
      <w:r w:rsidR="00E54B2D">
        <w:rPr>
          <w:rFonts w:eastAsia="Times New Roman" w:cs="Calibri"/>
          <w:bCs/>
          <w:sz w:val="24"/>
          <w:szCs w:val="24"/>
        </w:rPr>
        <w:t>mlade</w:t>
      </w:r>
      <w:r w:rsidR="00124FAF" w:rsidRPr="00E54B2D">
        <w:rPr>
          <w:rFonts w:eastAsia="Times New Roman" w:cs="Calibri"/>
          <w:bCs/>
          <w:sz w:val="24"/>
          <w:szCs w:val="24"/>
        </w:rPr>
        <w:t>“</w:t>
      </w:r>
      <w:bookmarkEnd w:id="50"/>
    </w:p>
    <w:p w:rsidR="00E54B2D" w:rsidRDefault="00244A16" w:rsidP="00676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E54B2D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Pr="00E54B2D">
        <w:rPr>
          <w:rFonts w:eastAsia="Times New Roman" w:cs="Calibri"/>
          <w:b/>
          <w:bCs/>
          <w:sz w:val="24"/>
          <w:szCs w:val="24"/>
        </w:rPr>
        <w:t xml:space="preserve"> 8.ii</w:t>
      </w:r>
      <w:r w:rsidRPr="00E54B2D">
        <w:rPr>
          <w:rFonts w:eastAsia="Times New Roman" w:cs="Calibri"/>
          <w:bCs/>
          <w:sz w:val="24"/>
          <w:szCs w:val="24"/>
        </w:rPr>
        <w:t xml:space="preserve"> </w:t>
      </w:r>
      <w:r w:rsidRPr="00E54B2D">
        <w:rPr>
          <w:rFonts w:eastAsia="Times New Roman" w:cs="Calibri"/>
          <w:b/>
          <w:bCs/>
          <w:sz w:val="24"/>
          <w:szCs w:val="24"/>
        </w:rPr>
        <w:t>(</w:t>
      </w:r>
      <w:r>
        <w:rPr>
          <w:rFonts w:eastAsia="Times New Roman" w:cs="Calibri"/>
          <w:b/>
          <w:bCs/>
          <w:sz w:val="24"/>
          <w:szCs w:val="24"/>
        </w:rPr>
        <w:t>ESF</w:t>
      </w:r>
      <w:r w:rsidRPr="00E54B2D">
        <w:rPr>
          <w:rFonts w:eastAsia="Times New Roman" w:cs="Calibri"/>
          <w:b/>
          <w:bCs/>
          <w:sz w:val="24"/>
          <w:szCs w:val="24"/>
        </w:rPr>
        <w:t>)</w:t>
      </w:r>
      <w:r>
        <w:rPr>
          <w:rFonts w:eastAsia="Times New Roman" w:cs="Calibri"/>
          <w:b/>
          <w:bCs/>
          <w:sz w:val="24"/>
          <w:szCs w:val="24"/>
        </w:rPr>
        <w:t xml:space="preserve"> </w:t>
      </w:r>
      <w:r w:rsidR="00CB2208" w:rsidRPr="00E54B2D">
        <w:rPr>
          <w:rFonts w:eastAsia="Times New Roman" w:cs="Calibri"/>
          <w:bCs/>
          <w:sz w:val="24"/>
          <w:szCs w:val="24"/>
        </w:rPr>
        <w:t>„Održiva  integracija  mladih  na  tržište  rada (</w:t>
      </w:r>
      <w:r w:rsidR="00CB2208">
        <w:rPr>
          <w:rFonts w:eastAsia="Times New Roman" w:cs="Calibri"/>
          <w:bCs/>
          <w:sz w:val="24"/>
          <w:szCs w:val="24"/>
        </w:rPr>
        <w:t>ESF</w:t>
      </w:r>
      <w:r w:rsidR="00CB2208" w:rsidRPr="00E54B2D">
        <w:rPr>
          <w:rFonts w:eastAsia="Times New Roman" w:cs="Calibri"/>
          <w:bCs/>
          <w:sz w:val="24"/>
          <w:szCs w:val="24"/>
        </w:rPr>
        <w:t xml:space="preserve">),  posebno  onih  koji  nisu  zaposleni,  ne  obrazuju  se  niti osposobljavaju, uključujući mlade koji su izloženi riziku od socijalne isključenosti i mlade iz marginaliziranih zajednica, uključujući provedbom Garancije za </w:t>
      </w:r>
      <w:r w:rsidR="00CB2208">
        <w:rPr>
          <w:rFonts w:eastAsia="Times New Roman" w:cs="Calibri"/>
          <w:bCs/>
          <w:sz w:val="24"/>
          <w:szCs w:val="24"/>
        </w:rPr>
        <w:t>mlade</w:t>
      </w:r>
      <w:r w:rsidR="00CB2208" w:rsidRPr="00E54B2D">
        <w:rPr>
          <w:rFonts w:eastAsia="Times New Roman" w:cs="Calibri"/>
          <w:bCs/>
          <w:sz w:val="24"/>
          <w:szCs w:val="24"/>
        </w:rPr>
        <w:t>“</w:t>
      </w:r>
    </w:p>
    <w:p w:rsidR="00CB2208" w:rsidRPr="001E6A29" w:rsidRDefault="00CB2208" w:rsidP="001E6A2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E54B2D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Pr="00E54B2D">
        <w:rPr>
          <w:rFonts w:eastAsia="Times New Roman" w:cs="Calibri"/>
          <w:b/>
          <w:bCs/>
          <w:sz w:val="24"/>
          <w:szCs w:val="24"/>
        </w:rPr>
        <w:t xml:space="preserve"> 8.</w:t>
      </w:r>
      <w:r w:rsidR="001E6A29">
        <w:rPr>
          <w:rFonts w:eastAsia="Times New Roman" w:cs="Calibri"/>
          <w:b/>
          <w:bCs/>
          <w:sz w:val="24"/>
          <w:szCs w:val="24"/>
        </w:rPr>
        <w:t>v</w:t>
      </w:r>
      <w:r w:rsidRPr="00E54B2D">
        <w:rPr>
          <w:rFonts w:eastAsia="Times New Roman" w:cs="Calibri"/>
          <w:b/>
          <w:bCs/>
          <w:sz w:val="24"/>
          <w:szCs w:val="24"/>
        </w:rPr>
        <w:t>ii</w:t>
      </w:r>
      <w:r w:rsidR="001E6A29">
        <w:rPr>
          <w:rFonts w:eastAsia="Times New Roman" w:cs="Calibri"/>
          <w:b/>
          <w:bCs/>
          <w:sz w:val="24"/>
          <w:szCs w:val="24"/>
        </w:rPr>
        <w:t xml:space="preserve"> </w:t>
      </w:r>
      <w:r w:rsidR="001E6A29" w:rsidRPr="001E6A29">
        <w:rPr>
          <w:rFonts w:eastAsia="Times New Roman" w:cs="Calibri"/>
          <w:bCs/>
          <w:sz w:val="24"/>
          <w:szCs w:val="24"/>
        </w:rPr>
        <w:t>„Modernizacija ustanova tržišta rada kao što su javne i privatne službe za zapošljavanje te bolja usklađenost s potrebama tržišta rada, uključujući putem djelovanja koja povećavaju transnacionalnu mobilnost radne snage, kao i putem programa mobilnosti, te bolja suradnja institucija i relevantnih dionika</w:t>
      </w:r>
      <w:r w:rsidR="00D73FF2">
        <w:rPr>
          <w:rFonts w:eastAsia="Times New Roman" w:cs="Calibri"/>
          <w:bCs/>
          <w:sz w:val="24"/>
          <w:szCs w:val="24"/>
        </w:rPr>
        <w:t>“</w:t>
      </w:r>
    </w:p>
    <w:p w:rsidR="00124FAF" w:rsidRPr="004C1B9F" w:rsidRDefault="00124FAF" w:rsidP="00B87240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</w:rPr>
      </w:pPr>
    </w:p>
    <w:p w:rsidR="003B5165" w:rsidRPr="00D81E2D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81E2D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E58A2" w:rsidRDefault="001D3D48" w:rsidP="00D81E2D">
      <w:pPr>
        <w:spacing w:after="120" w:line="240" w:lineRule="auto"/>
        <w:ind w:right="-510"/>
        <w:jc w:val="both"/>
        <w:rPr>
          <w:sz w:val="24"/>
          <w:szCs w:val="24"/>
        </w:rPr>
      </w:pPr>
      <w:r w:rsidRPr="002E58A2">
        <w:rPr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E58A2">
        <w:rPr>
          <w:sz w:val="24"/>
          <w:szCs w:val="24"/>
        </w:rPr>
        <w:t>2016</w:t>
      </w:r>
      <w:r w:rsidRPr="002E58A2">
        <w:rPr>
          <w:sz w:val="24"/>
          <w:szCs w:val="24"/>
        </w:rPr>
        <w:t>.-</w:t>
      </w:r>
      <w:r w:rsidR="008E10C8" w:rsidRPr="002E58A2">
        <w:rPr>
          <w:sz w:val="24"/>
          <w:szCs w:val="24"/>
        </w:rPr>
        <w:t>2020</w:t>
      </w:r>
      <w:r w:rsidR="00923A72" w:rsidRPr="002E58A2">
        <w:rPr>
          <w:sz w:val="24"/>
          <w:szCs w:val="24"/>
        </w:rPr>
        <w:t>. godine.</w:t>
      </w:r>
    </w:p>
    <w:p w:rsidR="00923A72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58A2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E58A2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D81E2D">
        <w:rPr>
          <w:rFonts w:asciiTheme="minorHAnsi" w:hAnsiTheme="minorHAnsi"/>
          <w:b/>
          <w:sz w:val="24"/>
          <w:szCs w:val="24"/>
          <w:u w:val="single"/>
        </w:rPr>
        <w:t>Nadležnim tijelima (UT/PT1)</w:t>
      </w:r>
      <w:r w:rsidR="00291C7B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>koj</w:t>
      </w:r>
      <w:r w:rsidR="008A7AB1" w:rsidRPr="002E58A2">
        <w:rPr>
          <w:rFonts w:asciiTheme="minorHAnsi" w:hAnsiTheme="minorHAnsi"/>
          <w:b/>
          <w:sz w:val="24"/>
          <w:szCs w:val="24"/>
        </w:rPr>
        <w:t xml:space="preserve">e </w:t>
      </w:r>
      <w:r w:rsidRPr="002E58A2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 xml:space="preserve">je 31. </w:t>
      </w:r>
      <w:r w:rsidR="00204B4A" w:rsidRPr="002E58A2">
        <w:rPr>
          <w:rFonts w:asciiTheme="minorHAnsi" w:hAnsiTheme="minorHAnsi"/>
          <w:b/>
          <w:sz w:val="24"/>
          <w:szCs w:val="24"/>
        </w:rPr>
        <w:t>prosinca</w:t>
      </w:r>
      <w:r w:rsidRPr="002E58A2">
        <w:rPr>
          <w:rFonts w:asciiTheme="minorHAnsi" w:hAnsiTheme="minorHAnsi"/>
          <w:b/>
          <w:sz w:val="24"/>
          <w:szCs w:val="24"/>
        </w:rPr>
        <w:t xml:space="preserve"> 201</w:t>
      </w:r>
      <w:r w:rsidR="00204B4A" w:rsidRPr="002E58A2">
        <w:rPr>
          <w:rFonts w:asciiTheme="minorHAnsi" w:hAnsiTheme="minorHAnsi"/>
          <w:b/>
          <w:sz w:val="24"/>
          <w:szCs w:val="24"/>
        </w:rPr>
        <w:t>6</w:t>
      </w:r>
      <w:r w:rsidRPr="002E58A2">
        <w:rPr>
          <w:rFonts w:asciiTheme="minorHAnsi" w:hAnsiTheme="minorHAnsi"/>
          <w:b/>
          <w:sz w:val="24"/>
          <w:szCs w:val="24"/>
        </w:rPr>
        <w:t xml:space="preserve">. godine. </w:t>
      </w:r>
    </w:p>
    <w:p w:rsidR="00D73FF2" w:rsidRDefault="00D73FF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73FF2" w:rsidRPr="002E58A2" w:rsidRDefault="00D73FF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D4BC1" w:rsidRPr="00D81E2D" w:rsidRDefault="00CD4BC1" w:rsidP="00D102E0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lastRenderedPageBreak/>
        <w:t>Upravljačko tijelo:</w:t>
      </w:r>
    </w:p>
    <w:p w:rsidR="003B5165" w:rsidRPr="00D102E0" w:rsidRDefault="003B5165" w:rsidP="00D102E0">
      <w:pPr>
        <w:pStyle w:val="Odlomakpopisa"/>
        <w:numPr>
          <w:ilvl w:val="0"/>
          <w:numId w:val="30"/>
        </w:numPr>
        <w:spacing w:after="0"/>
        <w:rPr>
          <w:sz w:val="24"/>
          <w:szCs w:val="24"/>
        </w:rPr>
      </w:pPr>
      <w:r w:rsidRPr="00D102E0">
        <w:rPr>
          <w:sz w:val="24"/>
          <w:szCs w:val="24"/>
        </w:rPr>
        <w:t xml:space="preserve">Ministarstvo rada i mirovinskog sustava – </w:t>
      </w:r>
      <w:r w:rsidR="00CD4BC1" w:rsidRPr="00D102E0">
        <w:rPr>
          <w:sz w:val="24"/>
          <w:szCs w:val="24"/>
        </w:rPr>
        <w:t xml:space="preserve">nadležno </w:t>
      </w:r>
      <w:r w:rsidRPr="00D102E0">
        <w:rPr>
          <w:sz w:val="24"/>
          <w:szCs w:val="24"/>
        </w:rPr>
        <w:t xml:space="preserve">za Investicijski prioritet </w:t>
      </w:r>
      <w:r w:rsidR="00D73FF2">
        <w:rPr>
          <w:sz w:val="24"/>
          <w:szCs w:val="24"/>
        </w:rPr>
        <w:t>8.i, 8.ii</w:t>
      </w:r>
      <w:r w:rsidR="00710445">
        <w:rPr>
          <w:sz w:val="24"/>
          <w:szCs w:val="24"/>
        </w:rPr>
        <w:t xml:space="preserve"> (YEI), 8.ii (ESF), 8.v</w:t>
      </w:r>
      <w:r w:rsidR="00952123">
        <w:rPr>
          <w:sz w:val="24"/>
          <w:szCs w:val="24"/>
        </w:rPr>
        <w:t>ii</w:t>
      </w:r>
      <w:r w:rsidR="00D73FF2">
        <w:rPr>
          <w:sz w:val="24"/>
          <w:szCs w:val="24"/>
        </w:rPr>
        <w:t xml:space="preserve"> </w:t>
      </w:r>
    </w:p>
    <w:p w:rsidR="00CD4BC1" w:rsidRDefault="00CD4BC1" w:rsidP="00CD4BC1">
      <w:pPr>
        <w:spacing w:after="0"/>
        <w:rPr>
          <w:sz w:val="24"/>
          <w:szCs w:val="24"/>
        </w:rPr>
      </w:pPr>
    </w:p>
    <w:p w:rsidR="00CD4BC1" w:rsidRPr="00D81E2D" w:rsidRDefault="00CD4BC1" w:rsidP="00CD4BC1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Posredničk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tijel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razine 1:</w:t>
      </w:r>
    </w:p>
    <w:p w:rsidR="003B5165" w:rsidRPr="008B51A4" w:rsidRDefault="007C234D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znanosti i sporta</w:t>
      </w:r>
      <w:r w:rsidR="003B5165" w:rsidRPr="008B51A4">
        <w:rPr>
          <w:sz w:val="24"/>
          <w:szCs w:val="24"/>
        </w:rPr>
        <w:t xml:space="preserve"> – </w:t>
      </w:r>
      <w:r w:rsidR="00CD4BC1">
        <w:rPr>
          <w:sz w:val="24"/>
          <w:szCs w:val="24"/>
        </w:rPr>
        <w:t>nadležno za</w:t>
      </w:r>
      <w:r w:rsidR="003B5165" w:rsidRPr="008B51A4">
        <w:rPr>
          <w:sz w:val="24"/>
          <w:szCs w:val="24"/>
        </w:rPr>
        <w:t xml:space="preserve"> Investicijski prioritet </w:t>
      </w:r>
      <w:r>
        <w:rPr>
          <w:sz w:val="24"/>
          <w:szCs w:val="24"/>
        </w:rPr>
        <w:t>8.ii (YEI)</w:t>
      </w:r>
    </w:p>
    <w:p w:rsidR="00DA5CC1" w:rsidRDefault="00DA5CC1" w:rsidP="00A67191">
      <w:pPr>
        <w:spacing w:after="120" w:line="240" w:lineRule="auto"/>
        <w:ind w:right="-510"/>
        <w:jc w:val="both"/>
        <w:rPr>
          <w:sz w:val="24"/>
          <w:szCs w:val="24"/>
        </w:rPr>
      </w:pPr>
    </w:p>
    <w:p w:rsidR="001D3D48" w:rsidRPr="001D3D48" w:rsidRDefault="001D3D48" w:rsidP="00A67191">
      <w:pPr>
        <w:spacing w:after="120" w:line="240" w:lineRule="auto"/>
        <w:ind w:right="-510"/>
        <w:jc w:val="both"/>
        <w:rPr>
          <w:sz w:val="24"/>
          <w:szCs w:val="24"/>
        </w:rPr>
      </w:pPr>
      <w:r w:rsidRPr="004C1B9F">
        <w:rPr>
          <w:sz w:val="24"/>
          <w:szCs w:val="24"/>
        </w:rPr>
        <w:t>Prilikom dostave prijedloga</w:t>
      </w:r>
      <w:r w:rsidR="004C15A3">
        <w:rPr>
          <w:sz w:val="24"/>
          <w:szCs w:val="24"/>
        </w:rPr>
        <w:t xml:space="preserve"> operacije, P</w:t>
      </w:r>
      <w:r w:rsidRPr="004C1B9F">
        <w:rPr>
          <w:sz w:val="24"/>
          <w:szCs w:val="24"/>
        </w:rPr>
        <w:t>rijavitelj</w:t>
      </w:r>
      <w:r w:rsidRPr="004C1B9F">
        <w:rPr>
          <w:b/>
          <w:sz w:val="24"/>
          <w:szCs w:val="24"/>
        </w:rPr>
        <w:t xml:space="preserve"> </w:t>
      </w:r>
      <w:r w:rsidRPr="004C1B9F">
        <w:rPr>
          <w:sz w:val="24"/>
          <w:szCs w:val="24"/>
        </w:rPr>
        <w:t xml:space="preserve">mora </w:t>
      </w:r>
      <w:r w:rsidRPr="001D3D48">
        <w:rPr>
          <w:sz w:val="24"/>
          <w:szCs w:val="24"/>
        </w:rPr>
        <w:t>dokazati da kumulativno ispunjava sljedeće uvjete kako bi operacija bila prihvatljiva za financiranje kao izravna dodjela sredstava:</w:t>
      </w:r>
    </w:p>
    <w:p w:rsidR="001D3D48" w:rsidRPr="00030D86" w:rsidRDefault="001D3D48" w:rsidP="00B87240">
      <w:pPr>
        <w:spacing w:after="120" w:line="240" w:lineRule="auto"/>
        <w:ind w:right="-510"/>
        <w:jc w:val="both"/>
      </w:pP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>
        <w:rPr>
          <w:sz w:val="24"/>
          <w:szCs w:val="24"/>
        </w:rPr>
        <w:t xml:space="preserve"> 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1</w:t>
      </w:r>
      <w:r w:rsidR="00A67C48">
        <w:rPr>
          <w:sz w:val="24"/>
          <w:szCs w:val="24"/>
        </w:rPr>
        <w:t>)</w:t>
      </w:r>
      <w:r w:rsidR="00BA4DBC" w:rsidRPr="003B6C73">
        <w:rPr>
          <w:sz w:val="24"/>
          <w:szCs w:val="24"/>
        </w:rPr>
        <w:t>;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3B6C73">
        <w:t xml:space="preserve"> </w:t>
      </w:r>
      <w:r w:rsidR="00BA4DBC" w:rsidRPr="003B6C73">
        <w:rPr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>
        <w:rPr>
          <w:sz w:val="24"/>
          <w:szCs w:val="24"/>
        </w:rPr>
        <w:t>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2</w:t>
      </w:r>
      <w:r w:rsidR="00A67C48">
        <w:rPr>
          <w:sz w:val="24"/>
          <w:szCs w:val="24"/>
        </w:rPr>
        <w:t>)</w:t>
      </w:r>
    </w:p>
    <w:p w:rsidR="004C1B9F" w:rsidRPr="00411E27" w:rsidRDefault="00F052EF" w:rsidP="004C1B9F">
      <w:pPr>
        <w:pStyle w:val="Odlomakpopisa"/>
        <w:numPr>
          <w:ilvl w:val="3"/>
          <w:numId w:val="4"/>
        </w:numPr>
        <w:jc w:val="both"/>
        <w:rPr>
          <w:rStyle w:val="hps"/>
          <w:sz w:val="24"/>
          <w:szCs w:val="24"/>
        </w:rPr>
      </w:pPr>
      <w:r w:rsidRPr="00411E27">
        <w:rPr>
          <w:sz w:val="24"/>
          <w:szCs w:val="24"/>
        </w:rPr>
        <w:t>P</w:t>
      </w:r>
      <w:r w:rsidR="00BA4DBC" w:rsidRPr="00411E27">
        <w:rPr>
          <w:sz w:val="24"/>
          <w:szCs w:val="24"/>
        </w:rPr>
        <w:t xml:space="preserve">ostojanje kapaciteta za praćenje pokazatelja provedbe iz OP ULJP i zajedničkih pokazatelja iz </w:t>
      </w:r>
      <w:r w:rsidR="00BA4DBC" w:rsidRPr="00411E27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411E27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4C1B9F" w:rsidRDefault="00781537" w:rsidP="004C1B9F">
      <w:pPr>
        <w:pStyle w:val="Odlomakpopisa"/>
        <w:ind w:left="1069"/>
        <w:jc w:val="both"/>
        <w:rPr>
          <w:rStyle w:val="hps"/>
          <w:sz w:val="24"/>
          <w:szCs w:val="24"/>
        </w:rPr>
      </w:pPr>
    </w:p>
    <w:p w:rsidR="00BA4DBC" w:rsidRPr="003B6C73" w:rsidRDefault="00BA4DBC" w:rsidP="00027545">
      <w:pPr>
        <w:pStyle w:val="Naslov2"/>
        <w:numPr>
          <w:ilvl w:val="1"/>
          <w:numId w:val="3"/>
        </w:numPr>
        <w:spacing w:after="120"/>
        <w:ind w:left="845"/>
        <w:rPr>
          <w:color w:val="auto"/>
        </w:rPr>
      </w:pPr>
      <w:bookmarkStart w:id="51" w:name="_Toc445990693"/>
      <w:bookmarkStart w:id="52" w:name="_Toc445991353"/>
      <w:bookmarkStart w:id="53" w:name="_Toc452453566"/>
      <w:r w:rsidRPr="003B6C73">
        <w:rPr>
          <w:color w:val="auto"/>
        </w:rPr>
        <w:t>Prijavitelj</w:t>
      </w:r>
      <w:bookmarkEnd w:id="51"/>
      <w:bookmarkEnd w:id="52"/>
      <w:bookmarkEnd w:id="53"/>
      <w:r w:rsidR="002A6A9E">
        <w:rPr>
          <w:color w:val="auto"/>
        </w:rPr>
        <w:t>i i partneri</w:t>
      </w:r>
    </w:p>
    <w:p w:rsidR="004C1B9F" w:rsidRPr="00B87240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6A3167">
        <w:rPr>
          <w:rFonts w:asciiTheme="minorHAnsi" w:hAnsiTheme="minorHAnsi"/>
          <w:sz w:val="24"/>
          <w:szCs w:val="24"/>
        </w:rPr>
        <w:t>Prijavitelj</w:t>
      </w:r>
      <w:r w:rsidR="002A6A9E" w:rsidRPr="006A3167">
        <w:rPr>
          <w:rFonts w:asciiTheme="minorHAnsi" w:hAnsiTheme="minorHAnsi"/>
          <w:sz w:val="24"/>
          <w:szCs w:val="24"/>
        </w:rPr>
        <w:t xml:space="preserve"> i ako je primjenjivo partner</w:t>
      </w:r>
      <w:r w:rsidRPr="006A3167">
        <w:rPr>
          <w:rFonts w:asciiTheme="minorHAnsi" w:hAnsiTheme="minorHAnsi"/>
          <w:sz w:val="24"/>
          <w:szCs w:val="24"/>
        </w:rPr>
        <w:t xml:space="preserve"> može biti </w:t>
      </w:r>
      <w:r w:rsidR="00EC2DC8" w:rsidRPr="006A3167">
        <w:rPr>
          <w:rFonts w:asciiTheme="minorHAnsi" w:hAnsiTheme="minorHAnsi"/>
          <w:sz w:val="24"/>
          <w:szCs w:val="24"/>
        </w:rPr>
        <w:t>Tijelo</w:t>
      </w:r>
      <w:r w:rsidR="001D3D48" w:rsidRPr="006A3167">
        <w:rPr>
          <w:rFonts w:asciiTheme="minorHAnsi" w:hAnsiTheme="minorHAnsi"/>
          <w:sz w:val="24"/>
          <w:szCs w:val="24"/>
        </w:rPr>
        <w:t xml:space="preserve"> državne i javne uprave koj</w:t>
      </w:r>
      <w:r w:rsidR="00EC2DC8" w:rsidRPr="006A3167">
        <w:rPr>
          <w:rFonts w:asciiTheme="minorHAnsi" w:hAnsiTheme="minorHAnsi"/>
          <w:sz w:val="24"/>
          <w:szCs w:val="24"/>
        </w:rPr>
        <w:t>e</w:t>
      </w:r>
      <w:r w:rsidR="001D3D48" w:rsidRPr="006A3167">
        <w:rPr>
          <w:rFonts w:asciiTheme="minorHAnsi" w:hAnsiTheme="minorHAnsi"/>
          <w:sz w:val="24"/>
          <w:szCs w:val="24"/>
        </w:rPr>
        <w:t xml:space="preserve"> provod</w:t>
      </w:r>
      <w:r w:rsidR="00EC2DC8" w:rsidRPr="006A3167">
        <w:rPr>
          <w:rFonts w:asciiTheme="minorHAnsi" w:hAnsiTheme="minorHAnsi"/>
          <w:sz w:val="24"/>
          <w:szCs w:val="24"/>
        </w:rPr>
        <w:t>i</w:t>
      </w:r>
      <w:r w:rsidR="001D3D48" w:rsidRPr="006A3167">
        <w:rPr>
          <w:rFonts w:asciiTheme="minorHAnsi" w:hAnsiTheme="minorHAnsi"/>
          <w:sz w:val="24"/>
          <w:szCs w:val="24"/>
        </w:rPr>
        <w:t xml:space="preserve"> </w:t>
      </w:r>
      <w:r w:rsidR="001D3D48" w:rsidRPr="00B87240">
        <w:rPr>
          <w:rFonts w:asciiTheme="minorHAnsi" w:hAnsiTheme="minorHAnsi"/>
          <w:sz w:val="24"/>
          <w:szCs w:val="24"/>
        </w:rPr>
        <w:t xml:space="preserve">operacije u skladu s identificiranim potencijalnim </w:t>
      </w:r>
      <w:r w:rsidR="004C1B9F" w:rsidRPr="00B87240">
        <w:rPr>
          <w:rFonts w:asciiTheme="minorHAnsi" w:hAnsiTheme="minorHAnsi"/>
          <w:sz w:val="24"/>
          <w:szCs w:val="24"/>
        </w:rPr>
        <w:t>ciljnim skupinama</w:t>
      </w:r>
      <w:r w:rsidR="007E562F" w:rsidRPr="00B87240">
        <w:rPr>
          <w:rFonts w:asciiTheme="minorHAnsi" w:hAnsiTheme="minorHAnsi"/>
          <w:sz w:val="24"/>
          <w:szCs w:val="24"/>
        </w:rPr>
        <w:t xml:space="preserve"> definiranim</w:t>
      </w:r>
      <w:r w:rsidR="004C1B9F" w:rsidRPr="00B87240">
        <w:rPr>
          <w:rFonts w:asciiTheme="minorHAnsi" w:hAnsiTheme="minorHAnsi"/>
          <w:sz w:val="24"/>
          <w:szCs w:val="24"/>
        </w:rPr>
        <w:t xml:space="preserve"> u</w:t>
      </w:r>
      <w:r w:rsidR="004813DF" w:rsidRPr="00B87240">
        <w:rPr>
          <w:rFonts w:asciiTheme="minorHAnsi" w:hAnsiTheme="minorHAnsi"/>
          <w:sz w:val="24"/>
          <w:szCs w:val="24"/>
        </w:rPr>
        <w:t xml:space="preserve"> okviru</w:t>
      </w:r>
      <w:r w:rsidR="001D3D48" w:rsidRPr="00B87240">
        <w:rPr>
          <w:rFonts w:asciiTheme="minorHAnsi" w:hAnsiTheme="minorHAnsi"/>
          <w:sz w:val="24"/>
          <w:szCs w:val="24"/>
        </w:rPr>
        <w:t xml:space="preserve"> </w:t>
      </w:r>
      <w:r w:rsidR="007E562F" w:rsidRPr="00B87240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B87240">
        <w:rPr>
          <w:rFonts w:asciiTheme="minorHAnsi" w:hAnsiTheme="minorHAnsi"/>
          <w:sz w:val="24"/>
          <w:szCs w:val="24"/>
        </w:rPr>
        <w:t>cilj</w:t>
      </w:r>
      <w:r w:rsidR="007E562F" w:rsidRPr="00B87240">
        <w:rPr>
          <w:rFonts w:asciiTheme="minorHAnsi" w:hAnsiTheme="minorHAnsi"/>
          <w:sz w:val="24"/>
          <w:szCs w:val="24"/>
        </w:rPr>
        <w:t>a</w:t>
      </w:r>
      <w:r w:rsidR="001D3D48" w:rsidRPr="00B87240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>Učinkoviti ljudski potencijali</w:t>
      </w:r>
      <w:r w:rsidR="008A7AB1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 xml:space="preserve"> 2014.-2020.</w:t>
      </w:r>
      <w:r w:rsidR="00273583" w:rsidRPr="00B87240">
        <w:rPr>
          <w:rFonts w:asciiTheme="minorHAnsi" w:hAnsiTheme="minorHAnsi"/>
          <w:sz w:val="24"/>
          <w:szCs w:val="24"/>
        </w:rPr>
        <w:t>,</w:t>
      </w:r>
      <w:r w:rsidR="001D3D48" w:rsidRPr="00B87240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B87240">
        <w:rPr>
          <w:rFonts w:asciiTheme="minorHAnsi" w:hAnsiTheme="minorHAnsi"/>
          <w:sz w:val="24"/>
          <w:szCs w:val="24"/>
        </w:rPr>
        <w:t>koje</w:t>
      </w:r>
      <w:r w:rsidR="00E855AD" w:rsidRPr="00B87240">
        <w:rPr>
          <w:rFonts w:asciiTheme="minorHAnsi" w:hAnsiTheme="minorHAnsi"/>
          <w:sz w:val="24"/>
          <w:szCs w:val="24"/>
        </w:rPr>
        <w:t>g</w:t>
      </w:r>
      <w:r w:rsidR="00EC2DC8" w:rsidRPr="00B87240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B87240">
        <w:rPr>
          <w:rFonts w:asciiTheme="minorHAnsi" w:hAnsiTheme="minorHAnsi"/>
          <w:sz w:val="24"/>
          <w:szCs w:val="24"/>
        </w:rPr>
        <w:t>,</w:t>
      </w:r>
      <w:r w:rsidR="00EC2DC8" w:rsidRPr="00B87240">
        <w:rPr>
          <w:rFonts w:asciiTheme="minorHAnsi" w:hAnsiTheme="minorHAnsi"/>
          <w:sz w:val="24"/>
          <w:szCs w:val="24"/>
        </w:rPr>
        <w:t xml:space="preserve"> i to</w:t>
      </w:r>
      <w:r w:rsidR="001B7886" w:rsidRPr="00B87240">
        <w:rPr>
          <w:rFonts w:asciiTheme="minorHAnsi" w:hAnsiTheme="minorHAnsi"/>
          <w:sz w:val="24"/>
          <w:szCs w:val="24"/>
        </w:rPr>
        <w:t xml:space="preserve"> na temelju zakona i/ili </w:t>
      </w:r>
      <w:proofErr w:type="spellStart"/>
      <w:r w:rsidR="001B7886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1B7886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>
        <w:rPr>
          <w:rFonts w:asciiTheme="minorHAnsi" w:hAnsiTheme="minorHAnsi"/>
          <w:sz w:val="24"/>
          <w:szCs w:val="24"/>
        </w:rPr>
        <w:t>.</w:t>
      </w:r>
      <w:r w:rsidR="001B7886" w:rsidRPr="00B87240">
        <w:rPr>
          <w:rFonts w:asciiTheme="minorHAnsi" w:hAnsiTheme="minorHAnsi"/>
          <w:sz w:val="24"/>
          <w:szCs w:val="24"/>
        </w:rPr>
        <w:t xml:space="preserve"> </w:t>
      </w:r>
    </w:p>
    <w:p w:rsidR="004C1B9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4C1B9F" w:rsidRDefault="00D21578" w:rsidP="00D21578">
      <w:pPr>
        <w:pStyle w:val="xxRulesParagraph"/>
        <w:spacing w:after="120"/>
        <w:rPr>
          <w:rStyle w:val="hps"/>
          <w:rFonts w:ascii="Times New Roman" w:hAnsi="Times New Roman"/>
          <w:b w:val="0"/>
        </w:rPr>
      </w:pPr>
      <w:r>
        <w:rPr>
          <w:rStyle w:val="hps"/>
          <w:b w:val="0"/>
        </w:rPr>
        <w:t xml:space="preserve">Prijavitelj se </w:t>
      </w:r>
      <w:r w:rsidRPr="004C1B9F">
        <w:rPr>
          <w:rStyle w:val="hps"/>
          <w:b w:val="0"/>
        </w:rPr>
        <w:t>prijavljuje samostalno</w:t>
      </w:r>
      <w:r w:rsidRPr="004C1B9F">
        <w:rPr>
          <w:rStyle w:val="longtext"/>
          <w:b w:val="0"/>
        </w:rPr>
        <w:t xml:space="preserve"> </w:t>
      </w:r>
      <w:r w:rsidR="00924361">
        <w:rPr>
          <w:rStyle w:val="hps"/>
          <w:b w:val="0"/>
        </w:rPr>
        <w:t>ili s jednim ili više partnera.</w:t>
      </w:r>
    </w:p>
    <w:p w:rsidR="00CF2879" w:rsidRDefault="00CF2879" w:rsidP="007D6EED">
      <w:pPr>
        <w:contextualSpacing/>
        <w:jc w:val="both"/>
        <w:rPr>
          <w:sz w:val="24"/>
        </w:rPr>
      </w:pPr>
    </w:p>
    <w:p w:rsidR="00BA4DBC" w:rsidRDefault="00BA4DBC" w:rsidP="00F82C72">
      <w:pPr>
        <w:pStyle w:val="Naslov2"/>
        <w:numPr>
          <w:ilvl w:val="1"/>
          <w:numId w:val="3"/>
        </w:numPr>
        <w:spacing w:after="240"/>
        <w:ind w:left="845"/>
        <w:rPr>
          <w:rStyle w:val="hps"/>
          <w:rFonts w:asciiTheme="majorHAnsi" w:hAnsiTheme="majorHAnsi" w:cs="Lucida Sans Unicode"/>
          <w:color w:val="auto"/>
        </w:rPr>
      </w:pPr>
      <w:bookmarkStart w:id="54" w:name="_Toc445990694"/>
      <w:bookmarkStart w:id="55" w:name="_Toc445991354"/>
      <w:bookmarkStart w:id="56" w:name="_Toc452453567"/>
      <w:r w:rsidRPr="003B6C73">
        <w:rPr>
          <w:rStyle w:val="hps"/>
          <w:rFonts w:asciiTheme="majorHAnsi" w:hAnsiTheme="majorHAnsi" w:cs="Lucida Sans Unicode"/>
          <w:color w:val="auto"/>
        </w:rPr>
        <w:lastRenderedPageBreak/>
        <w:t>Pokazatelji provedbe</w:t>
      </w:r>
      <w:bookmarkEnd w:id="54"/>
      <w:bookmarkEnd w:id="55"/>
      <w:bookmarkEnd w:id="56"/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221EDD">
        <w:rPr>
          <w:rStyle w:val="hps"/>
          <w:rFonts w:asciiTheme="minorHAnsi" w:hAnsiTheme="minorHAnsi" w:cs="Lucida Sans Unicode"/>
          <w:sz w:val="24"/>
          <w:szCs w:val="24"/>
        </w:rPr>
        <w:t>1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221EDD">
        <w:rPr>
          <w:rStyle w:val="hps"/>
          <w:rFonts w:asciiTheme="minorHAnsi" w:hAnsiTheme="minorHAnsi" w:cs="Lucida Sans Unicode"/>
          <w:sz w:val="24"/>
          <w:szCs w:val="24"/>
        </w:rPr>
        <w:t xml:space="preserve">Visoka </w:t>
      </w:r>
      <w:proofErr w:type="spellStart"/>
      <w:r w:rsidR="00221EDD">
        <w:rPr>
          <w:rStyle w:val="hps"/>
          <w:rFonts w:asciiTheme="minorHAnsi" w:hAnsiTheme="minorHAnsi" w:cs="Lucida Sans Unicode"/>
          <w:sz w:val="24"/>
          <w:szCs w:val="24"/>
        </w:rPr>
        <w:t>zapošljivost</w:t>
      </w:r>
      <w:proofErr w:type="spellEnd"/>
      <w:r w:rsidR="00221EDD">
        <w:rPr>
          <w:rStyle w:val="hps"/>
          <w:rFonts w:asciiTheme="minorHAnsi" w:hAnsiTheme="minorHAnsi" w:cs="Lucida Sans Unicode"/>
          <w:sz w:val="24"/>
          <w:szCs w:val="24"/>
        </w:rPr>
        <w:t xml:space="preserve"> i mobilnost radne snage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Default="00BA4DBC" w:rsidP="00BA4DBC">
      <w:pPr>
        <w:pStyle w:val="Naslov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52453568"/>
      <w:r w:rsidRPr="003B6C73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3B6C73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mlađ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Default="006F69CC" w:rsidP="00B87240">
      <w:pPr>
        <w:pStyle w:val="Odlomakpopisa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3B6C73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B40B17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B40B17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3B6C73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s tercijarnim obrazovanjem (ISCED od 5 do 8),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</w:t>
      </w:r>
      <w:r>
        <w:rPr>
          <w:rStyle w:val="hps"/>
          <w:rFonts w:asciiTheme="minorHAnsi" w:hAnsiTheme="minorHAnsi" w:cs="Lucida Sans Unicode"/>
          <w:sz w:val="24"/>
          <w:szCs w:val="24"/>
        </w:rPr>
        <w:t xml:space="preserve">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3B6C73" w:rsidRDefault="005F07D9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DE0A0D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BF38EB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BF38EB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D5530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3B6C73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:rsidR="002F5488" w:rsidRDefault="002B49AF" w:rsidP="00D15586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  <w:r w:rsidRPr="003B6C73">
        <w:rPr>
          <w:rFonts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>
        <w:rPr>
          <w:rFonts w:cs="Lucida Sans Unicode"/>
          <w:sz w:val="24"/>
          <w:szCs w:val="24"/>
        </w:rPr>
        <w:t>K</w:t>
      </w:r>
      <w:r w:rsidR="00DB5480" w:rsidRPr="003B6C73">
        <w:rPr>
          <w:rFonts w:cs="Lucida Sans Unicode"/>
          <w:sz w:val="24"/>
          <w:szCs w:val="24"/>
        </w:rPr>
        <w:t xml:space="preserve">orisniku </w:t>
      </w:r>
      <w:r w:rsidRPr="003B6C73">
        <w:rPr>
          <w:rFonts w:cs="Lucida Sans Unicode"/>
          <w:sz w:val="24"/>
          <w:szCs w:val="24"/>
        </w:rPr>
        <w:t xml:space="preserve">dostavlja </w:t>
      </w:r>
      <w:r w:rsidR="0063085B">
        <w:rPr>
          <w:rFonts w:cs="Lucida Sans Unicode"/>
          <w:sz w:val="24"/>
          <w:szCs w:val="24"/>
        </w:rPr>
        <w:t xml:space="preserve">s </w:t>
      </w:r>
      <w:r w:rsidR="006E7AE1">
        <w:rPr>
          <w:rFonts w:cs="Lucida Sans Unicode"/>
          <w:sz w:val="24"/>
          <w:szCs w:val="24"/>
        </w:rPr>
        <w:t xml:space="preserve">Ugovorom </w:t>
      </w:r>
      <w:r w:rsidR="0063085B">
        <w:rPr>
          <w:rFonts w:cs="Lucida Sans Unicode"/>
          <w:sz w:val="24"/>
          <w:szCs w:val="24"/>
        </w:rPr>
        <w:t xml:space="preserve">te </w:t>
      </w:r>
      <w:r w:rsidRPr="003B6C73">
        <w:rPr>
          <w:rFonts w:cs="Lucida Sans Unicode"/>
          <w:sz w:val="24"/>
          <w:szCs w:val="24"/>
        </w:rPr>
        <w:t xml:space="preserve">zajedno s detaljnom uputom o prikupljanju i obradi podataka </w:t>
      </w:r>
      <w:r w:rsidR="005D7705">
        <w:rPr>
          <w:rFonts w:cs="Lucida Sans Unicode"/>
          <w:sz w:val="24"/>
          <w:szCs w:val="24"/>
        </w:rPr>
        <w:t xml:space="preserve">i </w:t>
      </w:r>
      <w:r w:rsidRPr="003B6C73">
        <w:rPr>
          <w:rFonts w:cs="Lucida Sans Unicode"/>
          <w:sz w:val="24"/>
          <w:szCs w:val="24"/>
        </w:rPr>
        <w:t xml:space="preserve"> postupku izvješćivanja nadležnih tijela.</w:t>
      </w:r>
      <w:bookmarkStart w:id="60" w:name="_Toc445990696"/>
      <w:bookmarkStart w:id="61" w:name="_Toc452453569"/>
    </w:p>
    <w:p w:rsidR="00D15586" w:rsidRPr="00D15586" w:rsidRDefault="00D15586" w:rsidP="00D15586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</w:p>
    <w:p w:rsidR="002B49AF" w:rsidRPr="003B6C73" w:rsidRDefault="00720478" w:rsidP="00027545">
      <w:pPr>
        <w:pStyle w:val="Naslov1"/>
        <w:spacing w:before="200" w:after="240"/>
        <w:rPr>
          <w:color w:val="auto"/>
        </w:rPr>
      </w:pPr>
      <w:r>
        <w:rPr>
          <w:color w:val="auto"/>
        </w:rPr>
        <w:t xml:space="preserve">2. </w:t>
      </w:r>
      <w:r w:rsidR="00AC63DD" w:rsidRPr="003B6C73">
        <w:rPr>
          <w:color w:val="auto"/>
        </w:rPr>
        <w:t>Financiranje</w:t>
      </w:r>
      <w:bookmarkEnd w:id="60"/>
      <w:bookmarkEnd w:id="61"/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Ovaj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9359EC">
        <w:rPr>
          <w:sz w:val="24"/>
          <w:szCs w:val="24"/>
        </w:rPr>
        <w:t>1</w:t>
      </w:r>
      <w:r w:rsidR="00124FAF" w:rsidRPr="00233171">
        <w:rPr>
          <w:sz w:val="24"/>
          <w:szCs w:val="24"/>
        </w:rPr>
        <w:t xml:space="preserve"> </w:t>
      </w:r>
      <w:r w:rsidR="00B424F1" w:rsidRPr="00233171">
        <w:rPr>
          <w:sz w:val="24"/>
          <w:szCs w:val="24"/>
        </w:rPr>
        <w:t>„</w:t>
      </w:r>
      <w:r w:rsidR="00221EDD">
        <w:rPr>
          <w:sz w:val="24"/>
          <w:szCs w:val="24"/>
        </w:rPr>
        <w:t xml:space="preserve">Visoka </w:t>
      </w:r>
      <w:proofErr w:type="spellStart"/>
      <w:r w:rsidR="00221EDD">
        <w:rPr>
          <w:sz w:val="24"/>
          <w:szCs w:val="24"/>
        </w:rPr>
        <w:t>zapošljivost</w:t>
      </w:r>
      <w:proofErr w:type="spellEnd"/>
      <w:r w:rsidR="00221EDD">
        <w:rPr>
          <w:sz w:val="24"/>
          <w:szCs w:val="24"/>
        </w:rPr>
        <w:t xml:space="preserve"> i mobilnost radne snage</w:t>
      </w:r>
      <w:r w:rsidRPr="00233171">
        <w:rPr>
          <w:sz w:val="24"/>
          <w:szCs w:val="24"/>
        </w:rPr>
        <w:t>“ OP ULJP-a.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Unutar ovog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oziva </w:t>
      </w:r>
      <w:r w:rsidR="00DB5480" w:rsidRPr="00233171">
        <w:rPr>
          <w:sz w:val="24"/>
          <w:szCs w:val="24"/>
        </w:rPr>
        <w:t xml:space="preserve">nisu </w:t>
      </w:r>
      <w:r w:rsidRPr="00233171">
        <w:rPr>
          <w:sz w:val="24"/>
          <w:szCs w:val="24"/>
        </w:rPr>
        <w:t>određen</w:t>
      </w:r>
      <w:r w:rsidR="00DB5480" w:rsidRPr="00233171">
        <w:rPr>
          <w:sz w:val="24"/>
          <w:szCs w:val="24"/>
        </w:rPr>
        <w:t>i</w:t>
      </w:r>
      <w:r w:rsidRPr="00233171">
        <w:rPr>
          <w:sz w:val="24"/>
          <w:szCs w:val="24"/>
        </w:rPr>
        <w:t xml:space="preserve"> minimalni i maksimalni financijski iznos operacija</w:t>
      </w:r>
      <w:r w:rsidR="00463829" w:rsidRPr="00233171">
        <w:rPr>
          <w:sz w:val="24"/>
          <w:szCs w:val="24"/>
        </w:rPr>
        <w:t xml:space="preserve"> kojeg P</w:t>
      </w:r>
      <w:r w:rsidRPr="00233171">
        <w:rPr>
          <w:sz w:val="24"/>
          <w:szCs w:val="24"/>
        </w:rPr>
        <w:t>rijavitelj predlaže za sufinanciranje operacije kao izravne dodjele sredstava.</w:t>
      </w:r>
    </w:p>
    <w:p w:rsidR="00E57271" w:rsidRPr="00E57271" w:rsidRDefault="00E57271" w:rsidP="00E57271">
      <w:pPr>
        <w:spacing w:after="120"/>
        <w:jc w:val="both"/>
        <w:rPr>
          <w:sz w:val="24"/>
          <w:szCs w:val="24"/>
        </w:rPr>
      </w:pPr>
      <w:r w:rsidRPr="00E57271">
        <w:rPr>
          <w:sz w:val="24"/>
          <w:szCs w:val="24"/>
        </w:rPr>
        <w:lastRenderedPageBreak/>
        <w:t xml:space="preserve">Namjenska sredstva EU na nivou Prioritetne osi 1. Visoka </w:t>
      </w:r>
      <w:proofErr w:type="spellStart"/>
      <w:r w:rsidRPr="00E57271">
        <w:rPr>
          <w:sz w:val="24"/>
          <w:szCs w:val="24"/>
        </w:rPr>
        <w:t>zapošljivost</w:t>
      </w:r>
      <w:proofErr w:type="spellEnd"/>
      <w:r w:rsidRPr="00E57271">
        <w:rPr>
          <w:sz w:val="24"/>
          <w:szCs w:val="24"/>
        </w:rPr>
        <w:t xml:space="preserve"> i mobilnost radne snage predstavljaju 85% ukupnih prihvatljivih troškova projekta. Namjenska sredstva Državnog proračuna Republike Hrvatske predstavljaju 15% ukupnih prihvatljivih troškova projekta, </w:t>
      </w:r>
    </w:p>
    <w:p w:rsidR="00F87116" w:rsidRDefault="00E57271" w:rsidP="00E57271">
      <w:pPr>
        <w:spacing w:after="120"/>
        <w:jc w:val="both"/>
        <w:rPr>
          <w:sz w:val="24"/>
          <w:szCs w:val="24"/>
        </w:rPr>
      </w:pPr>
      <w:r w:rsidRPr="00E57271">
        <w:rPr>
          <w:sz w:val="24"/>
          <w:szCs w:val="24"/>
        </w:rPr>
        <w:t>U sluča</w:t>
      </w:r>
      <w:r w:rsidR="00E54538">
        <w:rPr>
          <w:sz w:val="24"/>
          <w:szCs w:val="24"/>
        </w:rPr>
        <w:t>ju operacija financiranih putem</w:t>
      </w:r>
      <w:r w:rsidRPr="00E57271">
        <w:rPr>
          <w:sz w:val="24"/>
          <w:szCs w:val="24"/>
        </w:rPr>
        <w:t xml:space="preserve"> Specifičnog cilja 8.ii.1. </w:t>
      </w:r>
      <w:r w:rsidRPr="00F87116">
        <w:rPr>
          <w:i/>
          <w:sz w:val="24"/>
          <w:szCs w:val="24"/>
        </w:rPr>
        <w:t>Održiva integracija mladih na tržište rada (IZM), posebno onih koji nisu zaposleni, ne obrazuju se niti osposobljavaju, uključujući mlade koji su izloženi riziku od socijalne isključenosti i mlade iz marginaliziranih zajednica, uključujući provedbom Garancije za mlade</w:t>
      </w:r>
      <w:r w:rsidR="00F87116">
        <w:rPr>
          <w:i/>
          <w:sz w:val="24"/>
          <w:szCs w:val="24"/>
        </w:rPr>
        <w:t>,</w:t>
      </w:r>
      <w:r w:rsidRPr="00F87116">
        <w:rPr>
          <w:i/>
          <w:sz w:val="24"/>
          <w:szCs w:val="24"/>
        </w:rPr>
        <w:t xml:space="preserve"> </w:t>
      </w:r>
      <w:r w:rsidRPr="00E57271">
        <w:rPr>
          <w:sz w:val="24"/>
          <w:szCs w:val="24"/>
        </w:rPr>
        <w:t xml:space="preserve">u okviru Prioritetne osi </w:t>
      </w:r>
      <w:r w:rsidRPr="00F87116">
        <w:rPr>
          <w:i/>
          <w:sz w:val="24"/>
          <w:szCs w:val="24"/>
        </w:rPr>
        <w:t xml:space="preserve">1. Visoka </w:t>
      </w:r>
      <w:proofErr w:type="spellStart"/>
      <w:r w:rsidRPr="00F87116">
        <w:rPr>
          <w:i/>
          <w:sz w:val="24"/>
          <w:szCs w:val="24"/>
        </w:rPr>
        <w:t>zapošljivost</w:t>
      </w:r>
      <w:proofErr w:type="spellEnd"/>
      <w:r w:rsidRPr="00F87116">
        <w:rPr>
          <w:i/>
          <w:sz w:val="24"/>
          <w:szCs w:val="24"/>
        </w:rPr>
        <w:t xml:space="preserve"> i mobilnost radne snage</w:t>
      </w:r>
      <w:r w:rsidRPr="00E57271">
        <w:rPr>
          <w:sz w:val="24"/>
          <w:szCs w:val="24"/>
        </w:rPr>
        <w:t>, namjenska sre</w:t>
      </w:r>
      <w:r w:rsidR="00E54538">
        <w:rPr>
          <w:sz w:val="24"/>
          <w:szCs w:val="24"/>
        </w:rPr>
        <w:t>dstva EU za svaku operaciju koja</w:t>
      </w:r>
      <w:r w:rsidRPr="00E57271">
        <w:rPr>
          <w:sz w:val="24"/>
          <w:szCs w:val="24"/>
        </w:rPr>
        <w:t xml:space="preserve"> se tiče predmetnog specifičnog cilja predstavljaju 91.89 % ukupnih prihvatljivih troškova projekta, odnosno namjenska sredstva Državnog proračuna Republike Hrvatske predstavljaju 8.11 % ukupnih prihvatljivih troškova projekta</w:t>
      </w:r>
      <w:r>
        <w:rPr>
          <w:sz w:val="24"/>
          <w:szCs w:val="24"/>
        </w:rPr>
        <w:t xml:space="preserve">. </w:t>
      </w:r>
    </w:p>
    <w:p w:rsidR="00F87116" w:rsidRDefault="00F87116" w:rsidP="00E57271">
      <w:pPr>
        <w:spacing w:after="120"/>
        <w:jc w:val="both"/>
        <w:rPr>
          <w:sz w:val="24"/>
          <w:szCs w:val="24"/>
        </w:rPr>
      </w:pPr>
    </w:p>
    <w:p w:rsidR="001D3D48" w:rsidRPr="00233171" w:rsidRDefault="00762447" w:rsidP="00E57271">
      <w:pPr>
        <w:spacing w:after="120"/>
        <w:jc w:val="both"/>
        <w:rPr>
          <w:sz w:val="24"/>
          <w:szCs w:val="24"/>
        </w:rPr>
      </w:pPr>
      <w:r w:rsidRPr="00233171">
        <w:rPr>
          <w:sz w:val="24"/>
          <w:szCs w:val="24"/>
        </w:rPr>
        <w:t>Ovaj P</w:t>
      </w:r>
      <w:r w:rsidR="001D3D48" w:rsidRPr="00233171">
        <w:rPr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>
        <w:rPr>
          <w:sz w:val="24"/>
          <w:szCs w:val="24"/>
        </w:rPr>
        <w:t xml:space="preserve">su </w:t>
      </w:r>
      <w:r w:rsidR="001D3D48" w:rsidRPr="00233171">
        <w:rPr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3B6C73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>Sukladno Kriterijima prihvatljivosti</w:t>
      </w:r>
      <w:r w:rsidR="00622A01">
        <w:rPr>
          <w:sz w:val="24"/>
          <w:szCs w:val="24"/>
        </w:rPr>
        <w:t>,</w:t>
      </w:r>
      <w:r w:rsidRPr="003B6C73">
        <w:rPr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3B6C73">
        <w:rPr>
          <w:sz w:val="24"/>
          <w:szCs w:val="24"/>
        </w:rPr>
        <w:t>potporama</w:t>
      </w:r>
      <w:proofErr w:type="spellEnd"/>
      <w:r w:rsidRPr="003B6C73">
        <w:rPr>
          <w:sz w:val="24"/>
          <w:szCs w:val="24"/>
        </w:rPr>
        <w:t xml:space="preserve"> male vrijednosti, te ne smije biti  fizički niti financijski završena</w:t>
      </w:r>
      <w:r w:rsidR="006E7270">
        <w:rPr>
          <w:sz w:val="24"/>
          <w:szCs w:val="24"/>
        </w:rPr>
        <w:t xml:space="preserve"> </w:t>
      </w:r>
      <w:r w:rsidRPr="003B6C73">
        <w:rPr>
          <w:sz w:val="24"/>
          <w:szCs w:val="24"/>
        </w:rPr>
        <w:t>u trenutku podnošenja projektnog prijedloga.</w:t>
      </w:r>
    </w:p>
    <w:p w:rsidR="00E46E54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 xml:space="preserve">Aktivnosti operacije ne smiju se dvostruko financirati. </w:t>
      </w:r>
    </w:p>
    <w:p w:rsidR="00E971E3" w:rsidRDefault="00E971E3" w:rsidP="002B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okviru projekta financiranog iz ESF-a omogućeno je </w:t>
      </w:r>
      <w:r w:rsidR="00FC641F">
        <w:rPr>
          <w:sz w:val="24"/>
          <w:szCs w:val="24"/>
        </w:rPr>
        <w:t>financiranje</w:t>
      </w:r>
      <w:r>
        <w:rPr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>
        <w:rPr>
          <w:sz w:val="24"/>
          <w:szCs w:val="24"/>
        </w:rPr>
        <w:t xml:space="preserve"> (</w:t>
      </w:r>
      <w:r w:rsidR="00A10A2E" w:rsidRPr="00463829">
        <w:rPr>
          <w:sz w:val="23"/>
          <w:szCs w:val="23"/>
        </w:rPr>
        <w:t>pod uvjetima utvrđenim u članku 98. stavku 2. Uredbe (EU) br. 1303/2013. kroz tzv. fleksibilni instrument/ zajedničku potporu iz fondova</w:t>
      </w:r>
      <w:r w:rsidR="00A10A2E">
        <w:rPr>
          <w:sz w:val="23"/>
          <w:szCs w:val="23"/>
        </w:rPr>
        <w:t>)</w:t>
      </w:r>
      <w:r w:rsidR="00FC641F">
        <w:rPr>
          <w:sz w:val="24"/>
          <w:szCs w:val="24"/>
        </w:rPr>
        <w:t>, pod uvjetom da su takvi troškovi nužni za zadovoljavajuću provedbu operacije te da su s njom izravno povezan</w:t>
      </w:r>
      <w:r w:rsidR="006715D3">
        <w:rPr>
          <w:sz w:val="24"/>
          <w:szCs w:val="24"/>
        </w:rPr>
        <w:t xml:space="preserve"> i do granice od 10 % financijskih sredstava za svaku prioritetnu os OP ULJP-a</w:t>
      </w:r>
      <w:r w:rsidR="00FC641F">
        <w:rPr>
          <w:sz w:val="24"/>
          <w:szCs w:val="24"/>
        </w:rPr>
        <w:t>.</w:t>
      </w:r>
    </w:p>
    <w:p w:rsidR="005C3ABA" w:rsidRDefault="00F757AF" w:rsidP="002E58A2">
      <w:pPr>
        <w:pStyle w:val="Naslov2"/>
        <w:spacing w:after="240"/>
        <w:rPr>
          <w:color w:val="auto"/>
          <w:lang w:val="sl-SI"/>
        </w:rPr>
      </w:pPr>
      <w:bookmarkStart w:id="62" w:name="_Toc445990697"/>
      <w:bookmarkStart w:id="63" w:name="_Toc452453570"/>
      <w:r w:rsidRPr="00F757AF">
        <w:rPr>
          <w:color w:val="auto"/>
          <w:lang w:val="sl-SI"/>
        </w:rPr>
        <w:t xml:space="preserve">2.1. </w:t>
      </w:r>
      <w:r w:rsidR="002B49AF" w:rsidRPr="00F757AF">
        <w:rPr>
          <w:color w:val="auto"/>
          <w:lang w:val="sl-SI"/>
        </w:rPr>
        <w:t>Trajanje</w:t>
      </w:r>
      <w:bookmarkEnd w:id="62"/>
      <w:bookmarkEnd w:id="63"/>
      <w:r w:rsidR="00970A9E">
        <w:rPr>
          <w:color w:val="auto"/>
          <w:lang w:val="sl-SI"/>
        </w:rPr>
        <w:t xml:space="preserve"> operacija i razdoblje prihvatljivosti aktivnosti i izdataka</w:t>
      </w:r>
    </w:p>
    <w:p w:rsidR="005050F9" w:rsidRPr="005C3ABA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>
        <w:rPr>
          <w:rFonts w:asciiTheme="minorHAnsi" w:hAnsiTheme="minorHAnsi"/>
          <w:sz w:val="24"/>
          <w:szCs w:val="24"/>
        </w:rPr>
        <w:t>operacija nije definirano ovim P</w:t>
      </w:r>
      <w:r w:rsidRPr="005C3ABA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5C3ABA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>
        <w:rPr>
          <w:rFonts w:asciiTheme="minorHAnsi" w:hAnsiTheme="minorHAnsi"/>
          <w:sz w:val="24"/>
          <w:szCs w:val="24"/>
        </w:rPr>
        <w:t xml:space="preserve">ata projekta i to najranije od </w:t>
      </w:r>
      <w:r w:rsidRPr="005C3ABA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5C3ABA" w:rsidRDefault="002B49AF" w:rsidP="005C3ABA">
      <w:pPr>
        <w:jc w:val="both"/>
        <w:rPr>
          <w:rFonts w:asciiTheme="minorHAnsi" w:hAnsiTheme="minorHAnsi"/>
          <w:sz w:val="24"/>
        </w:rPr>
      </w:pPr>
      <w:r w:rsidRPr="005C3ABA">
        <w:rPr>
          <w:rFonts w:asciiTheme="minorHAnsi" w:hAnsiTheme="minorHAnsi"/>
          <w:sz w:val="24"/>
        </w:rPr>
        <w:lastRenderedPageBreak/>
        <w:t>U slučaju retroaktivnog sufinanciranja svi zahtje</w:t>
      </w:r>
      <w:r w:rsidR="005D4C50">
        <w:rPr>
          <w:rFonts w:asciiTheme="minorHAnsi" w:hAnsiTheme="minorHAnsi"/>
          <w:sz w:val="24"/>
        </w:rPr>
        <w:t>vi vezani za provedbu operacija</w:t>
      </w:r>
      <w:r w:rsidRPr="005C3ABA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>
        <w:rPr>
          <w:rFonts w:asciiTheme="minorHAnsi" w:hAnsiTheme="minorHAnsi"/>
          <w:sz w:val="24"/>
        </w:rPr>
        <w:t>,</w:t>
      </w:r>
      <w:r w:rsidRPr="005C3ABA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7D6EED">
        <w:rPr>
          <w:rFonts w:asciiTheme="minorHAnsi" w:hAnsiTheme="minorHAnsi"/>
          <w:sz w:val="24"/>
        </w:rPr>
        <w:t xml:space="preserve">Krajnji rok za završetak svih projektnih aktivnosti je 31. </w:t>
      </w:r>
      <w:r w:rsidRPr="000211AE">
        <w:rPr>
          <w:rFonts w:asciiTheme="minorHAnsi" w:hAnsiTheme="minorHAnsi"/>
          <w:sz w:val="24"/>
        </w:rPr>
        <w:t>prosinac 202</w:t>
      </w:r>
      <w:r w:rsidR="001D3D48" w:rsidRPr="000211AE">
        <w:rPr>
          <w:rFonts w:asciiTheme="minorHAnsi" w:hAnsiTheme="minorHAnsi"/>
          <w:sz w:val="24"/>
        </w:rPr>
        <w:t>3</w:t>
      </w:r>
      <w:r w:rsidRPr="000211AE">
        <w:rPr>
          <w:rFonts w:asciiTheme="minorHAnsi" w:hAnsiTheme="minorHAnsi"/>
          <w:sz w:val="24"/>
        </w:rPr>
        <w:t>. godine.</w:t>
      </w:r>
      <w:bookmarkStart w:id="64" w:name="_Toc445990698"/>
      <w:bookmarkStart w:id="65" w:name="_Toc452453571"/>
    </w:p>
    <w:p w:rsidR="002B49AF" w:rsidRPr="003B6C73" w:rsidRDefault="002B49AF" w:rsidP="00F82C72">
      <w:pPr>
        <w:pStyle w:val="Naslov2"/>
        <w:spacing w:after="240"/>
        <w:rPr>
          <w:color w:val="auto"/>
          <w:lang w:val="sl-SI"/>
        </w:rPr>
      </w:pPr>
      <w:r w:rsidRPr="003B6C73">
        <w:rPr>
          <w:color w:val="auto"/>
          <w:lang w:val="sl-SI"/>
        </w:rPr>
        <w:t>2.2. Prihvatljive aktivnosti</w:t>
      </w:r>
      <w:bookmarkEnd w:id="64"/>
      <w:bookmarkEnd w:id="65"/>
    </w:p>
    <w:p w:rsidR="002B49AF" w:rsidRDefault="000A0E33" w:rsidP="00D2479A">
      <w:pPr>
        <w:spacing w:after="120"/>
        <w:jc w:val="both"/>
        <w:rPr>
          <w:sz w:val="24"/>
        </w:rPr>
      </w:pPr>
      <w:r>
        <w:rPr>
          <w:sz w:val="24"/>
        </w:rPr>
        <w:t>Prema ovom Pozivu, p</w:t>
      </w:r>
      <w:r w:rsidR="002B49AF" w:rsidRPr="003B6C73">
        <w:rPr>
          <w:sz w:val="24"/>
        </w:rPr>
        <w:t>r</w:t>
      </w:r>
      <w:r w:rsidR="000211AE">
        <w:rPr>
          <w:sz w:val="24"/>
        </w:rPr>
        <w:t>ihvatljive za sufinanciranje su</w:t>
      </w:r>
      <w:r w:rsidR="002B49AF" w:rsidRPr="003B6C73">
        <w:rPr>
          <w:sz w:val="24"/>
        </w:rPr>
        <w:t xml:space="preserve"> one vrste aktivnosti </w:t>
      </w:r>
      <w:r w:rsidR="009611C6">
        <w:rPr>
          <w:sz w:val="24"/>
        </w:rPr>
        <w:t xml:space="preserve">koje su </w:t>
      </w:r>
      <w:r w:rsidR="008A1A38">
        <w:rPr>
          <w:sz w:val="24"/>
        </w:rPr>
        <w:t>definirane</w:t>
      </w:r>
      <w:r w:rsidR="000845C5">
        <w:rPr>
          <w:sz w:val="24"/>
        </w:rPr>
        <w:t xml:space="preserve"> </w:t>
      </w:r>
      <w:r w:rsidR="002B49AF" w:rsidRPr="003B6C73">
        <w:rPr>
          <w:sz w:val="24"/>
        </w:rPr>
        <w:t xml:space="preserve">u OP ULJP-u </w:t>
      </w:r>
      <w:r w:rsidR="009611C6">
        <w:rPr>
          <w:sz w:val="24"/>
        </w:rPr>
        <w:t xml:space="preserve"> i </w:t>
      </w:r>
      <w:r w:rsidR="002B49AF" w:rsidRPr="003B6C73">
        <w:rPr>
          <w:sz w:val="24"/>
        </w:rPr>
        <w:t>koje će</w:t>
      </w:r>
      <w:r w:rsidR="009611C6">
        <w:rPr>
          <w:sz w:val="24"/>
        </w:rPr>
        <w:t xml:space="preserve"> </w:t>
      </w:r>
      <w:r w:rsidR="002B49AF" w:rsidRPr="003B6C73">
        <w:rPr>
          <w:sz w:val="24"/>
        </w:rPr>
        <w:t xml:space="preserve">doprinijeti ostvarenju specifičnih ciljeva OP ULJP-a u okviru Prioritetne osi </w:t>
      </w:r>
      <w:r w:rsidR="009359EC">
        <w:rPr>
          <w:sz w:val="24"/>
        </w:rPr>
        <w:t>1</w:t>
      </w:r>
      <w:r w:rsidR="002B49AF" w:rsidRPr="003B6C73">
        <w:rPr>
          <w:sz w:val="24"/>
        </w:rPr>
        <w:t>.</w:t>
      </w:r>
    </w:p>
    <w:p w:rsidR="00AC63DD" w:rsidRDefault="002B49AF" w:rsidP="002B49AF">
      <w:pPr>
        <w:spacing w:after="0"/>
        <w:jc w:val="both"/>
        <w:rPr>
          <w:sz w:val="24"/>
        </w:rPr>
      </w:pPr>
      <w:r w:rsidRPr="003B6C73">
        <w:rPr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3B6C73" w:rsidRDefault="005C3ABA" w:rsidP="002B49AF">
      <w:pPr>
        <w:spacing w:after="0"/>
        <w:jc w:val="both"/>
        <w:rPr>
          <w:sz w:val="24"/>
        </w:rPr>
      </w:pPr>
    </w:p>
    <w:p w:rsidR="002B49AF" w:rsidRPr="003B6C73" w:rsidRDefault="002B49AF" w:rsidP="00D2479A">
      <w:pPr>
        <w:pStyle w:val="Naslov2"/>
        <w:spacing w:after="240"/>
        <w:rPr>
          <w:color w:val="auto"/>
          <w:lang w:val="sl-SI"/>
        </w:rPr>
      </w:pPr>
      <w:bookmarkStart w:id="66" w:name="_Toc372013319"/>
      <w:bookmarkStart w:id="67" w:name="_Toc445990699"/>
      <w:bookmarkStart w:id="68" w:name="_Toc452453572"/>
      <w:r w:rsidRPr="00781537">
        <w:rPr>
          <w:color w:val="auto"/>
          <w:lang w:val="sl-SI"/>
        </w:rPr>
        <w:t xml:space="preserve">2.3. Prihvatljivost </w:t>
      </w:r>
      <w:bookmarkEnd w:id="66"/>
      <w:r w:rsidRPr="00781537">
        <w:rPr>
          <w:color w:val="auto"/>
          <w:lang w:val="sl-SI"/>
        </w:rPr>
        <w:t>izdataka</w:t>
      </w:r>
      <w:bookmarkEnd w:id="67"/>
      <w:bookmarkEnd w:id="68"/>
    </w:p>
    <w:p w:rsidR="005050F9" w:rsidRPr="003B6C73" w:rsidRDefault="002B49AF" w:rsidP="002B49AF">
      <w:pPr>
        <w:jc w:val="both"/>
        <w:rPr>
          <w:sz w:val="24"/>
        </w:rPr>
      </w:pPr>
      <w:r w:rsidRPr="003B6C73">
        <w:rPr>
          <w:sz w:val="24"/>
        </w:rPr>
        <w:t xml:space="preserve">Prihvatljivost izdataka mora biti u skladu s Pravilnikom o prihvatljivosti izdataka u okviru </w:t>
      </w:r>
      <w:r w:rsidR="006F5E13" w:rsidRPr="003B6C73">
        <w:rPr>
          <w:sz w:val="24"/>
        </w:rPr>
        <w:t xml:space="preserve">Europskoga </w:t>
      </w:r>
      <w:r w:rsidRPr="003B6C73">
        <w:rPr>
          <w:sz w:val="24"/>
        </w:rPr>
        <w:t>socijalnog fonda (NN 149/14</w:t>
      </w:r>
      <w:r w:rsidR="00D43E2D">
        <w:rPr>
          <w:sz w:val="24"/>
        </w:rPr>
        <w:t>, 14/2016</w:t>
      </w:r>
      <w:r w:rsidRPr="003B6C73">
        <w:rPr>
          <w:sz w:val="24"/>
        </w:rPr>
        <w:t>).</w:t>
      </w:r>
    </w:p>
    <w:p w:rsidR="002B49AF" w:rsidRPr="003B6C73" w:rsidRDefault="002B49AF" w:rsidP="00AC63DD">
      <w:pPr>
        <w:jc w:val="both"/>
        <w:rPr>
          <w:sz w:val="24"/>
        </w:rPr>
      </w:pPr>
      <w:r w:rsidRPr="003B6C73">
        <w:rPr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3B6C73">
        <w:rPr>
          <w:sz w:val="24"/>
        </w:rPr>
        <w:t xml:space="preserve"> </w:t>
      </w:r>
      <w:r w:rsidRPr="003B6C73">
        <w:rPr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3B6C73" w:rsidRDefault="008F468A" w:rsidP="002B49AF">
      <w:p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Prihvatljivi izdaci</w:t>
      </w:r>
      <w:r w:rsidR="005E62C6">
        <w:rPr>
          <w:sz w:val="24"/>
          <w:lang w:val="sl-SI"/>
        </w:rPr>
        <w:t xml:space="preserve"> u okviru ovog P</w:t>
      </w:r>
      <w:r w:rsidR="002B49AF" w:rsidRPr="003B6C73">
        <w:rPr>
          <w:sz w:val="24"/>
          <w:lang w:val="sl-SI"/>
        </w:rPr>
        <w:t xml:space="preserve">oziva na dostavu prijedloga operacija koje će se financirati kao izravna dodjela sredstava u okviru Prioritetne osi </w:t>
      </w:r>
      <w:r w:rsidR="009359EC">
        <w:rPr>
          <w:sz w:val="24"/>
          <w:lang w:val="sl-SI"/>
        </w:rPr>
        <w:t>1</w:t>
      </w:r>
      <w:r w:rsidR="00E024C7">
        <w:rPr>
          <w:sz w:val="24"/>
          <w:lang w:val="sl-SI"/>
        </w:rPr>
        <w:t xml:space="preserve"> „</w:t>
      </w:r>
      <w:r w:rsidR="00221EDD">
        <w:rPr>
          <w:sz w:val="24"/>
          <w:lang w:val="sl-SI"/>
        </w:rPr>
        <w:t>Visoka zapošljivost i mobilnost radne snage</w:t>
      </w:r>
      <w:r w:rsidR="002B49AF" w:rsidRPr="003B6C73">
        <w:rPr>
          <w:sz w:val="24"/>
          <w:lang w:val="sl-SI"/>
        </w:rPr>
        <w:t xml:space="preserve">“ Operativnog programa 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>Učinkoviti ljudski potencijali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 xml:space="preserve"> 2014.-2020. </w:t>
      </w:r>
      <w:r>
        <w:rPr>
          <w:sz w:val="24"/>
          <w:lang w:val="sl-SI"/>
        </w:rPr>
        <w:t>moraju biti</w:t>
      </w:r>
      <w:r w:rsidR="002B49AF" w:rsidRPr="003B6C73">
        <w:rPr>
          <w:sz w:val="24"/>
          <w:lang w:val="sl-SI"/>
        </w:rPr>
        <w:t xml:space="preserve"> :</w:t>
      </w:r>
    </w:p>
    <w:p w:rsidR="002B49AF" w:rsidRPr="003B6C73" w:rsidRDefault="002B49AF" w:rsidP="002B49AF">
      <w:pPr>
        <w:spacing w:after="0"/>
        <w:jc w:val="both"/>
        <w:rPr>
          <w:sz w:val="24"/>
          <w:lang w:val="sl-SI"/>
        </w:rPr>
      </w:pP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P</w:t>
      </w:r>
      <w:r w:rsidR="002B49AF" w:rsidRPr="003B6C73">
        <w:rPr>
          <w:sz w:val="24"/>
        </w:rPr>
        <w:t xml:space="preserve">ovezani s operacijom i nastali u okviru operacije koje je </w:t>
      </w:r>
      <w:r w:rsidR="00C333FE">
        <w:rPr>
          <w:sz w:val="24"/>
        </w:rPr>
        <w:t xml:space="preserve">odobrilo </w:t>
      </w:r>
      <w:r w:rsidR="002B49AF" w:rsidRPr="003B6C73">
        <w:rPr>
          <w:sz w:val="24"/>
        </w:rPr>
        <w:t xml:space="preserve">nadležno tijelo u skladu s kriterijima utvrđenima od </w:t>
      </w:r>
      <w:r w:rsidR="00A1718A">
        <w:rPr>
          <w:sz w:val="24"/>
        </w:rPr>
        <w:t>O</w:t>
      </w:r>
      <w:r w:rsidR="00A1718A" w:rsidRPr="003B6C73">
        <w:rPr>
          <w:sz w:val="24"/>
        </w:rPr>
        <w:t xml:space="preserve">dbora </w:t>
      </w:r>
      <w:r w:rsidR="002B49AF" w:rsidRPr="003B6C73">
        <w:rPr>
          <w:sz w:val="24"/>
        </w:rPr>
        <w:t xml:space="preserve">za praćenje, a za koju je preuzeta obveza u </w:t>
      </w:r>
      <w:r w:rsidR="00A1718A">
        <w:rPr>
          <w:sz w:val="24"/>
        </w:rPr>
        <w:t>U</w:t>
      </w:r>
      <w:r w:rsidR="00A1718A" w:rsidRPr="003B6C73">
        <w:rPr>
          <w:sz w:val="24"/>
        </w:rPr>
        <w:t xml:space="preserve">govoru </w:t>
      </w:r>
      <w:r w:rsidR="002B49AF" w:rsidRPr="003B6C73">
        <w:rPr>
          <w:sz w:val="24"/>
        </w:rPr>
        <w:t>o dodjeli bespovratnih sredstava;</w:t>
      </w: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N</w:t>
      </w:r>
      <w:r w:rsidR="002B49AF" w:rsidRPr="003B6C73">
        <w:rPr>
          <w:sz w:val="24"/>
        </w:rPr>
        <w:t>astali u skladu s nacionalnim zakonodavstvom i zakonodavstvom Europske unije;</w:t>
      </w:r>
    </w:p>
    <w:p w:rsidR="002B49AF" w:rsidRPr="003B6C73" w:rsidRDefault="002B49AF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 w:rsidRPr="003B6C73">
        <w:rPr>
          <w:sz w:val="24"/>
        </w:rPr>
        <w:t xml:space="preserve"> </w:t>
      </w:r>
      <w:r w:rsidR="00FC76F3">
        <w:rPr>
          <w:sz w:val="24"/>
        </w:rPr>
        <w:t>S</w:t>
      </w:r>
      <w:r w:rsidR="00FC76F3" w:rsidRPr="003B6C73">
        <w:rPr>
          <w:sz w:val="24"/>
        </w:rPr>
        <w:t xml:space="preserve">tvarno </w:t>
      </w:r>
      <w:r w:rsidRPr="003B6C73">
        <w:rPr>
          <w:sz w:val="24"/>
        </w:rPr>
        <w:t>nastali kod Korisnika</w:t>
      </w:r>
      <w:r w:rsidR="00E824E4">
        <w:rPr>
          <w:sz w:val="24"/>
        </w:rPr>
        <w:t xml:space="preserve"> osim u slučajevima kada se radi o doprinosima</w:t>
      </w:r>
      <w:r w:rsidRPr="003B6C73">
        <w:rPr>
          <w:sz w:val="24"/>
        </w:rPr>
        <w:t xml:space="preserve"> u naravi u obliku naknada ili plaća koje pokriva </w:t>
      </w:r>
      <w:r w:rsidRPr="00AF3528">
        <w:rPr>
          <w:sz w:val="24"/>
        </w:rPr>
        <w:t>treća strana</w:t>
      </w:r>
      <w:r w:rsidRPr="003B6C73">
        <w:rPr>
          <w:sz w:val="24"/>
        </w:rPr>
        <w:t xml:space="preserve"> u korist sudionika operacije</w:t>
      </w:r>
      <w:r w:rsidR="009575D4">
        <w:rPr>
          <w:sz w:val="24"/>
        </w:rPr>
        <w:t>. Ti izdaci</w:t>
      </w:r>
      <w:r w:rsidRPr="003B6C73">
        <w:rPr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5050F9" w:rsidRDefault="0029758A" w:rsidP="00E024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Ako su izvršena</w:t>
      </w:r>
      <w:r w:rsidR="002B49AF" w:rsidRPr="003B6C73">
        <w:rPr>
          <w:sz w:val="24"/>
        </w:rPr>
        <w:t xml:space="preserve"> plaćanja Korisnika prema dobavljačima roba, </w:t>
      </w:r>
      <w:r w:rsidR="002B49AF" w:rsidRPr="00AF3528">
        <w:rPr>
          <w:sz w:val="24"/>
        </w:rPr>
        <w:t>izvođačima radova</w:t>
      </w:r>
      <w:r w:rsidR="002B49AF" w:rsidRPr="003B6C73">
        <w:rPr>
          <w:sz w:val="24"/>
        </w:rPr>
        <w:t xml:space="preserve"> te pružateljima usluga tijekom razdoblja prihvatljivosti izdataka, uz uvjet da projekt nije završen prije početka tog razdoblja;</w:t>
      </w:r>
    </w:p>
    <w:p w:rsid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D</w:t>
      </w:r>
      <w:r w:rsidR="002B49AF" w:rsidRPr="003B6C73">
        <w:rPr>
          <w:sz w:val="24"/>
        </w:rPr>
        <w:t>okazivi putem računa ili računovodstvenih dokumenata jednake dokazne vrijednosti, pri čemu su predujmovi isplaćeni dobavljačima roba, izvođačima radova</w:t>
      </w:r>
      <w:r w:rsidR="00B463EB">
        <w:rPr>
          <w:sz w:val="24"/>
        </w:rPr>
        <w:t xml:space="preserve"> te pružateljima usluga </w:t>
      </w:r>
      <w:r w:rsidR="006E35DA">
        <w:rPr>
          <w:sz w:val="24"/>
        </w:rPr>
        <w:t>u skladu s odredbama ugovora sklopljenih s tim subjektima prihvatljivi za sufinanciranje;</w:t>
      </w:r>
    </w:p>
    <w:p w:rsidR="00AC63DD" w:rsidRP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Pr="003B6C73">
        <w:rPr>
          <w:sz w:val="24"/>
        </w:rPr>
        <w:t xml:space="preserve">sklađeni </w:t>
      </w:r>
      <w:r w:rsidR="002B49AF" w:rsidRPr="003B6C73">
        <w:rPr>
          <w:sz w:val="24"/>
        </w:rPr>
        <w:t xml:space="preserve">s pravilima o državnim potporama, kao što je utvrđeno u članku </w:t>
      </w:r>
      <w:r w:rsidR="006E35DA">
        <w:rPr>
          <w:sz w:val="24"/>
        </w:rPr>
        <w:t xml:space="preserve"> </w:t>
      </w:r>
      <w:r w:rsidR="002B49AF" w:rsidRPr="003B6C73">
        <w:rPr>
          <w:sz w:val="24"/>
        </w:rPr>
        <w:t xml:space="preserve">107. UFEU ili pravilima o de </w:t>
      </w:r>
      <w:proofErr w:type="spellStart"/>
      <w:r w:rsidR="002B49AF" w:rsidRPr="003B6C73">
        <w:rPr>
          <w:sz w:val="24"/>
        </w:rPr>
        <w:t>minimis</w:t>
      </w:r>
      <w:proofErr w:type="spellEnd"/>
      <w:r w:rsidR="002B49AF" w:rsidRPr="003B6C73">
        <w:rPr>
          <w:sz w:val="24"/>
        </w:rPr>
        <w:t xml:space="preserve"> potporama, ako je primjenjivo;</w:t>
      </w:r>
    </w:p>
    <w:p w:rsidR="002B49AF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primjenjivim pravilima javne nabave;</w:t>
      </w:r>
    </w:p>
    <w:p w:rsidR="00542EC7" w:rsidRDefault="00FC76F3" w:rsidP="00542E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710445" w:rsidRDefault="00674F5B" w:rsidP="00674F5B">
      <w:pPr>
        <w:spacing w:after="120"/>
        <w:jc w:val="both"/>
        <w:rPr>
          <w:rFonts w:asciiTheme="minorHAnsi" w:hAnsiTheme="minorHAnsi"/>
          <w:b/>
          <w:sz w:val="24"/>
        </w:rPr>
      </w:pPr>
      <w:r w:rsidRPr="00710445">
        <w:rPr>
          <w:rFonts w:asciiTheme="minorHAnsi" w:hAnsiTheme="minorHAnsi"/>
          <w:b/>
          <w:sz w:val="24"/>
        </w:rPr>
        <w:t xml:space="preserve">Svi prihvatljivi troškovi nastali provedbom operacija </w:t>
      </w:r>
      <w:r w:rsidR="00F51DEB" w:rsidRPr="00710445">
        <w:rPr>
          <w:rFonts w:asciiTheme="minorHAnsi" w:hAnsiTheme="minorHAnsi"/>
          <w:b/>
          <w:sz w:val="24"/>
        </w:rPr>
        <w:t>koje će se financirati kao izravna dodjela</w:t>
      </w:r>
      <w:r w:rsidRPr="00710445">
        <w:rPr>
          <w:rFonts w:asciiTheme="minorHAnsi" w:hAnsiTheme="minorHAnsi"/>
          <w:b/>
          <w:sz w:val="24"/>
        </w:rPr>
        <w:t xml:space="preserve"> smatraju se izravnim troškovima.</w:t>
      </w:r>
    </w:p>
    <w:p w:rsidR="00990E9B" w:rsidRPr="00710445" w:rsidRDefault="00AB29CB" w:rsidP="006B2288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69" w:name="_Toc372013320"/>
      <w:bookmarkStart w:id="70" w:name="_Toc445990700"/>
      <w:bookmarkStart w:id="71" w:name="_Toc452453573"/>
      <w:r w:rsidRPr="00710445">
        <w:rPr>
          <w:rFonts w:asciiTheme="minorHAnsi" w:eastAsia="SimSun" w:hAnsiTheme="minorHAnsi"/>
          <w:b/>
          <w:bCs/>
          <w:sz w:val="28"/>
          <w:szCs w:val="28"/>
        </w:rPr>
        <w:t xml:space="preserve">3. </w:t>
      </w:r>
      <w:r w:rsidR="00990E9B" w:rsidRPr="00710445">
        <w:rPr>
          <w:rFonts w:asciiTheme="minorHAnsi" w:eastAsia="SimSun" w:hAnsiTheme="minorHAnsi"/>
          <w:b/>
          <w:bCs/>
          <w:sz w:val="28"/>
          <w:szCs w:val="28"/>
        </w:rPr>
        <w:t>Postupak prijave</w:t>
      </w:r>
      <w:bookmarkEnd w:id="69"/>
      <w:bookmarkEnd w:id="70"/>
      <w:bookmarkEnd w:id="71"/>
    </w:p>
    <w:p w:rsidR="009779BB" w:rsidRPr="00710445" w:rsidRDefault="00592008" w:rsidP="00990E9B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710445">
        <w:rPr>
          <w:rFonts w:asciiTheme="minorHAnsi" w:hAnsiTheme="minorHAnsi"/>
          <w:b/>
          <w:sz w:val="24"/>
        </w:rPr>
        <w:t xml:space="preserve">Preduvjet za </w:t>
      </w:r>
      <w:r w:rsidR="00604FBD" w:rsidRPr="00710445">
        <w:rPr>
          <w:rFonts w:asciiTheme="minorHAnsi" w:hAnsiTheme="minorHAnsi"/>
          <w:b/>
          <w:sz w:val="24"/>
        </w:rPr>
        <w:t>podnošenje projektne prijave je izrađeni Sažetak operacija</w:t>
      </w:r>
      <w:r w:rsidR="00C8361C" w:rsidRPr="00710445">
        <w:rPr>
          <w:rFonts w:asciiTheme="minorHAnsi" w:hAnsiTheme="minorHAnsi"/>
          <w:b/>
          <w:sz w:val="24"/>
        </w:rPr>
        <w:t xml:space="preserve"> (SO)</w:t>
      </w:r>
      <w:r w:rsidR="00604FBD" w:rsidRPr="00710445">
        <w:rPr>
          <w:rFonts w:asciiTheme="minorHAnsi" w:hAnsiTheme="minorHAnsi"/>
          <w:b/>
          <w:sz w:val="24"/>
        </w:rPr>
        <w:t xml:space="preserve"> prethodno odobren od strane UT-a</w:t>
      </w:r>
      <w:r w:rsidRPr="00710445">
        <w:rPr>
          <w:rFonts w:asciiTheme="minorHAnsi" w:hAnsiTheme="minorHAnsi"/>
          <w:b/>
          <w:sz w:val="24"/>
        </w:rPr>
        <w:t>.</w:t>
      </w:r>
    </w:p>
    <w:p w:rsidR="00990E9B" w:rsidRDefault="00592008" w:rsidP="00592008">
      <w:pPr>
        <w:ind w:left="1" w:hanging="1"/>
        <w:jc w:val="both"/>
        <w:rPr>
          <w:sz w:val="24"/>
        </w:rPr>
      </w:pPr>
      <w:r w:rsidRPr="00592008">
        <w:rPr>
          <w:b/>
          <w:sz w:val="24"/>
        </w:rPr>
        <w:t>Projektna p</w:t>
      </w:r>
      <w:r w:rsidR="00990E9B" w:rsidRPr="00592008">
        <w:rPr>
          <w:b/>
          <w:sz w:val="24"/>
        </w:rPr>
        <w:t>rijava</w:t>
      </w:r>
      <w:r w:rsidR="00990E9B" w:rsidRPr="003B6C73">
        <w:rPr>
          <w:sz w:val="24"/>
        </w:rPr>
        <w:t xml:space="preserve"> mora biti na hrvatskom jeziku i u potpunosti elektronički ispunjena na obrascima preuzetima s internetske stranice:</w:t>
      </w:r>
      <w:r w:rsidR="00990E9B" w:rsidRPr="003B6C73">
        <w:t xml:space="preserve"> </w:t>
      </w:r>
      <w:hyperlink r:id="rId11" w:history="1">
        <w:r w:rsidR="007B70A1">
          <w:rPr>
            <w:rStyle w:val="Hiperveza"/>
          </w:rPr>
          <w:t>https://esif-wf.mrrfeu.hr/</w:t>
        </w:r>
      </w:hyperlink>
      <w:r>
        <w:rPr>
          <w:sz w:val="24"/>
        </w:rPr>
        <w:t xml:space="preserve"> </w:t>
      </w:r>
      <w:r w:rsidR="00990E9B" w:rsidRPr="003B6C73">
        <w:rPr>
          <w:sz w:val="24"/>
        </w:rPr>
        <w:t>Na navedenoj adresi objavljene su upute za rad s aplikacijom te s</w:t>
      </w:r>
      <w:r>
        <w:rPr>
          <w:sz w:val="24"/>
        </w:rPr>
        <w:t>adržajne upute za popunjavanje P</w:t>
      </w:r>
      <w:r w:rsidR="00990E9B" w:rsidRPr="003B6C73">
        <w:rPr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3B6C73">
        <w:rPr>
          <w:sz w:val="24"/>
        </w:rPr>
        <w:t>Mozilla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Firefox</w:t>
      </w:r>
      <w:proofErr w:type="spellEnd"/>
      <w:r w:rsidR="00990E9B" w:rsidRPr="003B6C73">
        <w:rPr>
          <w:sz w:val="24"/>
        </w:rPr>
        <w:t xml:space="preserve"> 14.o ili novije verzije te </w:t>
      </w:r>
      <w:proofErr w:type="spellStart"/>
      <w:r w:rsidR="00990E9B" w:rsidRPr="003B6C73">
        <w:rPr>
          <w:sz w:val="24"/>
        </w:rPr>
        <w:t>Google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Chrome</w:t>
      </w:r>
      <w:proofErr w:type="spellEnd"/>
      <w:r w:rsidR="00990E9B" w:rsidRPr="003B6C73">
        <w:rPr>
          <w:sz w:val="24"/>
        </w:rPr>
        <w:t xml:space="preserve"> 20.0 ili novije verzije.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Kako bi projekta prijava bila </w:t>
      </w:r>
      <w:r w:rsidRPr="00091E99">
        <w:rPr>
          <w:b/>
          <w:sz w:val="24"/>
        </w:rPr>
        <w:t>formalno potpuna</w:t>
      </w:r>
      <w:r>
        <w:rPr>
          <w:sz w:val="24"/>
        </w:rPr>
        <w:t>, mora sadržavati</w:t>
      </w:r>
      <w:r w:rsidRPr="003B6C73">
        <w:rPr>
          <w:sz w:val="24"/>
        </w:rPr>
        <w:t>: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57BA1" w:rsidRPr="00DD5062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DF3139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DD5062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2" w:history="1">
        <w:r w:rsidRPr="00DD5062">
          <w:rPr>
            <w:rStyle w:val="Hiperveza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DF3139" w:rsidRDefault="00651FF0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lastRenderedPageBreak/>
        <w:t xml:space="preserve">Dokumentaciju kojom </w:t>
      </w:r>
      <w:r w:rsidR="00B57BA1" w:rsidRPr="00AF4DE0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59200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</w:t>
      </w:r>
      <w:r w:rsidR="00B57BA1" w:rsidRPr="00DF3139">
        <w:rPr>
          <w:rFonts w:asciiTheme="minorHAnsi" w:hAnsiTheme="minorHAnsi" w:cs="Lucida Sans Unicode"/>
          <w:sz w:val="24"/>
          <w:szCs w:val="24"/>
        </w:rPr>
        <w:t>);(Obrazac 1.)</w:t>
      </w:r>
    </w:p>
    <w:p w:rsidR="00FB1614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</w:t>
      </w:r>
    </w:p>
    <w:p w:rsidR="00FB1614" w:rsidRDefault="00FB1614" w:rsidP="00FB1614">
      <w:pPr>
        <w:pStyle w:val="Odlomakpopisa"/>
        <w:spacing w:after="0" w:line="240" w:lineRule="auto"/>
        <w:ind w:left="360"/>
        <w:jc w:val="both"/>
        <w:rPr>
          <w:rFonts w:asciiTheme="minorHAnsi" w:hAnsiTheme="minorHAnsi" w:cs="Lucida Sans Unicode"/>
          <w:b/>
          <w:i/>
          <w:sz w:val="24"/>
          <w:szCs w:val="24"/>
        </w:rPr>
      </w:pPr>
    </w:p>
    <w:p w:rsidR="00B57BA1" w:rsidRPr="00592008" w:rsidRDefault="00B57BA1" w:rsidP="00FB1614">
      <w:pPr>
        <w:pStyle w:val="Odlomakpopisa"/>
        <w:spacing w:after="0" w:line="240" w:lineRule="auto"/>
        <w:ind w:left="360"/>
        <w:jc w:val="both"/>
        <w:rPr>
          <w:rFonts w:asciiTheme="minorHAnsi" w:hAnsiTheme="minorHAnsi" w:cs="Lucida Sans Unicode"/>
          <w:sz w:val="24"/>
          <w:szCs w:val="24"/>
        </w:rPr>
      </w:pPr>
      <w:r w:rsidRPr="00592008">
        <w:rPr>
          <w:rFonts w:asciiTheme="minorHAnsi" w:hAnsiTheme="minorHAnsi" w:cs="Lucida Sans Unicode"/>
          <w:sz w:val="24"/>
          <w:szCs w:val="24"/>
        </w:rPr>
        <w:t>nastanka izdataka i mogućnostima njihove provjere u smislu pripreme za certificiranje);</w:t>
      </w:r>
      <w:r w:rsidR="00F33ADD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CE707B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CC1532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270C33">
        <w:rPr>
          <w:rFonts w:asciiTheme="minorHAnsi" w:hAnsiTheme="minorHAnsi" w:cs="Lucida Sans Unicode"/>
          <w:sz w:val="24"/>
          <w:szCs w:val="24"/>
        </w:rPr>
        <w:t>3</w:t>
      </w:r>
      <w:r w:rsidRPr="00DF3139">
        <w:rPr>
          <w:rFonts w:asciiTheme="minorHAnsi" w:hAnsiTheme="minorHAnsi" w:cs="Lucida Sans Unicode"/>
          <w:sz w:val="24"/>
          <w:szCs w:val="24"/>
        </w:rPr>
        <w:t>.)</w:t>
      </w:r>
    </w:p>
    <w:p w:rsidR="00CC1532" w:rsidRDefault="00CC1532" w:rsidP="00B57BA1">
      <w:pPr>
        <w:ind w:left="1" w:hanging="1"/>
        <w:jc w:val="both"/>
        <w:rPr>
          <w:sz w:val="24"/>
        </w:rPr>
      </w:pPr>
    </w:p>
    <w:p w:rsidR="00990E9B" w:rsidRPr="00592008" w:rsidRDefault="007F742A" w:rsidP="00990E9B">
      <w:pPr>
        <w:ind w:left="1" w:hanging="1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Projektna prijava dostavlja se na sljedeći način</w:t>
      </w:r>
      <w:r w:rsidR="00990E9B" w:rsidRPr="00592008">
        <w:rPr>
          <w:b/>
          <w:bCs/>
          <w:sz w:val="24"/>
          <w:lang w:val="sl-SI"/>
        </w:rPr>
        <w:t>:</w:t>
      </w:r>
    </w:p>
    <w:p w:rsidR="00990E9B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originaln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u papirnatom/tiskanom obliku</w:t>
      </w:r>
      <w:r w:rsidRPr="003B6C73">
        <w:rPr>
          <w:bCs/>
          <w:sz w:val="24"/>
          <w:lang w:val="sl-SI"/>
        </w:rPr>
        <w:t xml:space="preserve"> ispunjen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>
        <w:rPr>
          <w:bCs/>
          <w:sz w:val="24"/>
          <w:lang w:val="sl-SI"/>
        </w:rPr>
        <w:t xml:space="preserve"> (obrasci 1 – </w:t>
      </w:r>
      <w:r w:rsidR="00270C33">
        <w:rPr>
          <w:bCs/>
          <w:sz w:val="24"/>
          <w:lang w:val="sl-SI"/>
        </w:rPr>
        <w:t>3</w:t>
      </w:r>
      <w:r w:rsidR="002217EB">
        <w:rPr>
          <w:bCs/>
          <w:sz w:val="24"/>
          <w:lang w:val="sl-SI"/>
        </w:rPr>
        <w:t>)</w:t>
      </w:r>
      <w:r w:rsidRPr="003B6C73">
        <w:rPr>
          <w:bCs/>
          <w:sz w:val="24"/>
          <w:lang w:val="sl-SI"/>
        </w:rPr>
        <w:t>, kako je definirano u natječajnoj dokumentaciji</w:t>
      </w:r>
    </w:p>
    <w:p w:rsidR="00990E9B" w:rsidRPr="003B6C73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elektroničk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3B6C73">
        <w:rPr>
          <w:sz w:val="24"/>
          <w:lang w:val="sl-SI"/>
        </w:rPr>
        <w:t xml:space="preserve">i skenirane zahtijevane obvezne </w:t>
      </w:r>
      <w:r w:rsidR="002217EB">
        <w:rPr>
          <w:sz w:val="24"/>
          <w:lang w:val="sl-SI"/>
        </w:rPr>
        <w:t>priloge (obrasci 1–</w:t>
      </w:r>
      <w:r w:rsidR="00270C33">
        <w:rPr>
          <w:sz w:val="24"/>
          <w:lang w:val="sl-SI"/>
        </w:rPr>
        <w:t>3</w:t>
      </w:r>
      <w:r w:rsidR="002217EB">
        <w:rPr>
          <w:sz w:val="24"/>
          <w:lang w:val="sl-SI"/>
        </w:rPr>
        <w:t xml:space="preserve">) </w:t>
      </w:r>
      <w:r w:rsidRPr="003B6C73">
        <w:rPr>
          <w:sz w:val="24"/>
          <w:lang w:val="sl-SI"/>
        </w:rPr>
        <w:t xml:space="preserve"> Elektronička verzija mora biti istovjetna papirnatoj/tiskanoj verziji i pravilno označena. </w:t>
      </w:r>
    </w:p>
    <w:p w:rsidR="00CF2879" w:rsidRDefault="00990E9B" w:rsidP="006B2288">
      <w:pPr>
        <w:ind w:left="1" w:hanging="1"/>
        <w:jc w:val="both"/>
        <w:rPr>
          <w:sz w:val="24"/>
        </w:rPr>
      </w:pPr>
      <w:r w:rsidRPr="003B6C73">
        <w:rPr>
          <w:sz w:val="24"/>
        </w:rPr>
        <w:t>P</w:t>
      </w:r>
      <w:r w:rsidR="00CD25BA">
        <w:rPr>
          <w:sz w:val="24"/>
        </w:rPr>
        <w:t>rojektnu prijavu</w:t>
      </w:r>
      <w:r w:rsidRPr="003B6C73">
        <w:rPr>
          <w:sz w:val="24"/>
        </w:rPr>
        <w:t xml:space="preserve"> mora potpisati </w:t>
      </w:r>
      <w:r w:rsidR="00FC0799">
        <w:rPr>
          <w:sz w:val="24"/>
        </w:rPr>
        <w:t xml:space="preserve">i ovjeriti </w:t>
      </w:r>
      <w:r w:rsidRPr="003B6C73">
        <w:rPr>
          <w:sz w:val="24"/>
        </w:rPr>
        <w:t xml:space="preserve">osoba koja je po zakonu ovlaštena za zastupanje prijavitelja. </w:t>
      </w:r>
      <w:bookmarkStart w:id="72" w:name="_Toc372013321"/>
    </w:p>
    <w:p w:rsidR="00990E9B" w:rsidRPr="003B6C73" w:rsidRDefault="00990E9B" w:rsidP="006B2288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3" w:name="_Toc445990701"/>
      <w:bookmarkStart w:id="74" w:name="_Toc452453574"/>
      <w:r w:rsidRPr="003B6C73">
        <w:rPr>
          <w:rFonts w:ascii="Cambria" w:eastAsia="SimSun" w:hAnsi="Cambria"/>
          <w:b/>
          <w:bCs/>
          <w:sz w:val="26"/>
          <w:szCs w:val="26"/>
          <w:lang w:val="sl-SI"/>
        </w:rPr>
        <w:t>3.1. Predaja prijave</w:t>
      </w:r>
      <w:bookmarkEnd w:id="72"/>
      <w:bookmarkEnd w:id="73"/>
      <w:bookmarkEnd w:id="74"/>
    </w:p>
    <w:p w:rsidR="00D50EEA" w:rsidRPr="00F631F1" w:rsidRDefault="00DA5E86" w:rsidP="00D50EEA">
      <w:pPr>
        <w:spacing w:after="0"/>
        <w:rPr>
          <w:b/>
          <w:sz w:val="24"/>
          <w:szCs w:val="24"/>
        </w:rPr>
      </w:pPr>
      <w:bookmarkStart w:id="75" w:name="_Toc426094964"/>
      <w:bookmarkStart w:id="76" w:name="_Toc426095541"/>
      <w:bookmarkStart w:id="77" w:name="_Toc426100921"/>
      <w:bookmarkStart w:id="78" w:name="_Toc426101092"/>
      <w:bookmarkStart w:id="79" w:name="_Toc434926571"/>
      <w:bookmarkStart w:id="80" w:name="_Toc445990702"/>
      <w:bookmarkStart w:id="81" w:name="_Toc445991362"/>
      <w:bookmarkStart w:id="82" w:name="_Toc452396217"/>
      <w:bookmarkStart w:id="83" w:name="_Toc452396329"/>
      <w:bookmarkStart w:id="84" w:name="_Toc452453391"/>
      <w:bookmarkStart w:id="85" w:name="_Toc452453575"/>
      <w:r w:rsidRPr="00710445">
        <w:rPr>
          <w:rFonts w:asciiTheme="minorHAnsi" w:hAnsiTheme="minorHAnsi"/>
          <w:b/>
          <w:sz w:val="24"/>
          <w:szCs w:val="24"/>
        </w:rPr>
        <w:t xml:space="preserve">Adresa za dostavu dokumentacije Korisnika prema Upravljačkom tijelu (za operacije iz 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="00117836" w:rsidRPr="00F631F1">
        <w:rPr>
          <w:b/>
          <w:sz w:val="24"/>
          <w:szCs w:val="24"/>
        </w:rPr>
        <w:t>Investicijsk</w:t>
      </w:r>
      <w:r w:rsidRPr="00F631F1">
        <w:rPr>
          <w:b/>
          <w:sz w:val="24"/>
          <w:szCs w:val="24"/>
        </w:rPr>
        <w:t>og</w:t>
      </w:r>
      <w:r w:rsidR="00117836" w:rsidRPr="00F631F1">
        <w:rPr>
          <w:b/>
          <w:sz w:val="24"/>
          <w:szCs w:val="24"/>
        </w:rPr>
        <w:t xml:space="preserve"> prioritet</w:t>
      </w:r>
      <w:r w:rsidRPr="00F631F1">
        <w:rPr>
          <w:b/>
          <w:sz w:val="24"/>
          <w:szCs w:val="24"/>
        </w:rPr>
        <w:t>a</w:t>
      </w:r>
      <w:r w:rsidR="00117836" w:rsidRPr="00F631F1">
        <w:rPr>
          <w:b/>
          <w:sz w:val="24"/>
          <w:szCs w:val="24"/>
        </w:rPr>
        <w:t xml:space="preserve"> </w:t>
      </w:r>
      <w:r w:rsidR="00D50EEA" w:rsidRPr="00F631F1">
        <w:rPr>
          <w:b/>
          <w:sz w:val="24"/>
          <w:szCs w:val="24"/>
        </w:rPr>
        <w:t>8.i, 8.ii (ESF), 8.ii (YEI)</w:t>
      </w:r>
      <w:r w:rsidRPr="00F631F1">
        <w:rPr>
          <w:b/>
          <w:sz w:val="24"/>
          <w:szCs w:val="24"/>
        </w:rPr>
        <w:t>, 8.vii</w:t>
      </w:r>
      <w:r w:rsidR="00D15586" w:rsidRPr="00F631F1">
        <w:rPr>
          <w:b/>
          <w:sz w:val="24"/>
          <w:szCs w:val="24"/>
        </w:rPr>
        <w:t>)</w:t>
      </w:r>
    </w:p>
    <w:p w:rsidR="00D50EEA" w:rsidRPr="00203811" w:rsidRDefault="00D50EEA" w:rsidP="00D50EEA">
      <w:pPr>
        <w:spacing w:after="0"/>
        <w:rPr>
          <w:sz w:val="24"/>
          <w:szCs w:val="24"/>
        </w:rPr>
      </w:pPr>
    </w:p>
    <w:p w:rsidR="00990E9B" w:rsidRPr="00F631F1" w:rsidRDefault="00990E9B" w:rsidP="001638A6">
      <w:pPr>
        <w:spacing w:after="0"/>
        <w:jc w:val="both"/>
        <w:outlineLvl w:val="0"/>
        <w:rPr>
          <w:sz w:val="24"/>
          <w:szCs w:val="24"/>
          <w:u w:val="single"/>
        </w:rPr>
      </w:pPr>
      <w:bookmarkStart w:id="86" w:name="_Toc426094965"/>
      <w:bookmarkStart w:id="87" w:name="_Toc426095542"/>
      <w:bookmarkStart w:id="88" w:name="_Toc426100922"/>
      <w:bookmarkStart w:id="89" w:name="_Toc426101093"/>
      <w:bookmarkStart w:id="90" w:name="_Toc434926572"/>
      <w:bookmarkStart w:id="91" w:name="_Toc445990703"/>
      <w:bookmarkStart w:id="92" w:name="_Toc445991363"/>
      <w:bookmarkStart w:id="93" w:name="_Toc452396218"/>
      <w:bookmarkStart w:id="94" w:name="_Toc452396330"/>
      <w:bookmarkStart w:id="95" w:name="_Toc452453392"/>
      <w:bookmarkStart w:id="96" w:name="_Toc452453576"/>
      <w:r w:rsidRPr="00F631F1">
        <w:rPr>
          <w:sz w:val="24"/>
          <w:szCs w:val="24"/>
          <w:u w:val="single"/>
        </w:rPr>
        <w:t>Ministarstvo rada i mirovinskoga sustava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="001E079D" w:rsidRPr="00F631F1">
        <w:rPr>
          <w:sz w:val="24"/>
          <w:szCs w:val="24"/>
          <w:u w:val="single"/>
        </w:rPr>
        <w:t xml:space="preserve"> </w:t>
      </w:r>
    </w:p>
    <w:p w:rsidR="00990E9B" w:rsidRPr="00710445" w:rsidRDefault="00990E9B" w:rsidP="001638A6">
      <w:pPr>
        <w:spacing w:after="0"/>
        <w:jc w:val="both"/>
        <w:outlineLvl w:val="0"/>
        <w:rPr>
          <w:sz w:val="24"/>
          <w:szCs w:val="24"/>
        </w:rPr>
      </w:pPr>
      <w:bookmarkStart w:id="97" w:name="_Toc426094966"/>
      <w:bookmarkStart w:id="98" w:name="_Toc426095543"/>
      <w:bookmarkStart w:id="99" w:name="_Toc426100923"/>
      <w:bookmarkStart w:id="100" w:name="_Toc426101094"/>
      <w:bookmarkStart w:id="101" w:name="_Toc434926573"/>
      <w:bookmarkStart w:id="102" w:name="_Toc445990704"/>
      <w:bookmarkStart w:id="103" w:name="_Toc445991364"/>
      <w:bookmarkStart w:id="104" w:name="_Toc452396219"/>
      <w:bookmarkStart w:id="105" w:name="_Toc452396331"/>
      <w:bookmarkStart w:id="106" w:name="_Toc452453393"/>
      <w:bookmarkStart w:id="107" w:name="_Toc452453577"/>
      <w:r w:rsidRPr="00710445">
        <w:rPr>
          <w:sz w:val="24"/>
          <w:szCs w:val="24"/>
        </w:rPr>
        <w:t>Uprava za upravljanjem operativnim programima Europske unije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7726FB" w:rsidRPr="00203811" w:rsidRDefault="00836F48" w:rsidP="001638A6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03811">
        <w:rPr>
          <w:rFonts w:asciiTheme="minorHAnsi" w:hAnsiTheme="minorHAnsi"/>
          <w:sz w:val="24"/>
          <w:szCs w:val="24"/>
        </w:rPr>
        <w:t>Petračićeva</w:t>
      </w:r>
      <w:proofErr w:type="spellEnd"/>
      <w:r w:rsidRPr="00203811">
        <w:rPr>
          <w:rFonts w:asciiTheme="minorHAnsi" w:hAnsiTheme="minorHAnsi"/>
          <w:sz w:val="24"/>
          <w:szCs w:val="24"/>
        </w:rPr>
        <w:t xml:space="preserve"> 4</w:t>
      </w:r>
      <w:r w:rsidR="00990E9B" w:rsidRPr="00203811">
        <w:rPr>
          <w:rFonts w:asciiTheme="minorHAnsi" w:hAnsiTheme="minorHAnsi"/>
          <w:sz w:val="24"/>
          <w:szCs w:val="24"/>
        </w:rPr>
        <w:t>, 10 000 Zagreb</w:t>
      </w:r>
    </w:p>
    <w:p w:rsidR="0068781C" w:rsidRPr="00203811" w:rsidRDefault="0068781C" w:rsidP="001638A6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F1CA2" w:rsidRPr="005E40DE" w:rsidRDefault="000F1CA2" w:rsidP="000F1CA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10445">
        <w:rPr>
          <w:rFonts w:asciiTheme="minorHAnsi" w:hAnsiTheme="minorHAnsi"/>
          <w:b/>
          <w:sz w:val="24"/>
          <w:szCs w:val="24"/>
        </w:rPr>
        <w:t>Adresa za dostavu dokumentacije Korisnika prema Posredničkom tijelu razine 1 (samo za operacije iz Investicijskog prioriteta 8.ii (YEI) gdje je Posredničko tijelo razine 1 Ministarstvo znanosti, obrazovanja i sporta</w:t>
      </w:r>
      <w:r w:rsidR="001735F0">
        <w:rPr>
          <w:rFonts w:asciiTheme="minorHAnsi" w:hAnsiTheme="minorHAnsi"/>
          <w:b/>
          <w:sz w:val="24"/>
          <w:szCs w:val="24"/>
        </w:rPr>
        <w:t>)</w:t>
      </w:r>
    </w:p>
    <w:p w:rsidR="00203811" w:rsidRPr="00710445" w:rsidRDefault="00203811" w:rsidP="000F1CA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8781C" w:rsidRPr="00F631F1" w:rsidRDefault="00E43B8E" w:rsidP="00637FB7">
      <w:pPr>
        <w:spacing w:after="0"/>
        <w:jc w:val="both"/>
        <w:outlineLvl w:val="0"/>
        <w:rPr>
          <w:sz w:val="24"/>
          <w:szCs w:val="24"/>
          <w:u w:val="single"/>
        </w:rPr>
      </w:pPr>
      <w:r w:rsidRPr="00F631F1">
        <w:rPr>
          <w:sz w:val="24"/>
          <w:szCs w:val="24"/>
          <w:u w:val="single"/>
        </w:rPr>
        <w:t xml:space="preserve">Ministarstvo </w:t>
      </w:r>
      <w:r w:rsidR="00DD2DF7" w:rsidRPr="00F631F1">
        <w:rPr>
          <w:sz w:val="24"/>
          <w:szCs w:val="24"/>
          <w:u w:val="single"/>
        </w:rPr>
        <w:t>znanosti , obrazovanja i sporta</w:t>
      </w:r>
    </w:p>
    <w:p w:rsidR="001735F0" w:rsidRPr="00D44F38" w:rsidRDefault="001735F0" w:rsidP="001735F0">
      <w:pPr>
        <w:spacing w:after="0" w:line="240" w:lineRule="auto"/>
        <w:jc w:val="both"/>
        <w:outlineLvl w:val="0"/>
        <w:rPr>
          <w:sz w:val="24"/>
        </w:rPr>
      </w:pPr>
      <w:r w:rsidRPr="00D44F38">
        <w:rPr>
          <w:sz w:val="24"/>
        </w:rPr>
        <w:t>Sektor za potporu sustavu i programe Europske unije</w:t>
      </w:r>
    </w:p>
    <w:p w:rsidR="00526EFB" w:rsidRPr="00D15586" w:rsidRDefault="00445296" w:rsidP="00526EFB">
      <w:pPr>
        <w:spacing w:after="0"/>
        <w:jc w:val="both"/>
        <w:outlineLvl w:val="0"/>
        <w:rPr>
          <w:sz w:val="24"/>
          <w:szCs w:val="24"/>
        </w:rPr>
      </w:pPr>
      <w:r w:rsidRPr="00D15586">
        <w:rPr>
          <w:sz w:val="24"/>
          <w:szCs w:val="24"/>
        </w:rPr>
        <w:lastRenderedPageBreak/>
        <w:t>Služba za programe i projekte Europske unije</w:t>
      </w:r>
    </w:p>
    <w:p w:rsidR="00526EFB" w:rsidRPr="00203811" w:rsidRDefault="00DD2DF7" w:rsidP="00526EFB">
      <w:pPr>
        <w:spacing w:after="0"/>
        <w:jc w:val="both"/>
        <w:outlineLvl w:val="0"/>
        <w:rPr>
          <w:sz w:val="24"/>
          <w:szCs w:val="24"/>
        </w:rPr>
      </w:pPr>
      <w:r w:rsidRPr="00710445">
        <w:rPr>
          <w:sz w:val="24"/>
          <w:szCs w:val="24"/>
        </w:rPr>
        <w:t>Donje svetice 38</w:t>
      </w:r>
      <w:r w:rsidR="00526EFB" w:rsidRPr="00710445">
        <w:rPr>
          <w:sz w:val="24"/>
          <w:szCs w:val="24"/>
        </w:rPr>
        <w:t>, 10</w:t>
      </w:r>
      <w:r w:rsidR="00203811">
        <w:rPr>
          <w:sz w:val="24"/>
          <w:szCs w:val="24"/>
        </w:rPr>
        <w:t xml:space="preserve"> </w:t>
      </w:r>
      <w:r w:rsidR="00526EFB" w:rsidRPr="00203811">
        <w:rPr>
          <w:sz w:val="24"/>
          <w:szCs w:val="24"/>
        </w:rPr>
        <w:t>000 Zagreb</w:t>
      </w:r>
    </w:p>
    <w:p w:rsidR="00526EFB" w:rsidRDefault="00526EFB" w:rsidP="00526EFB">
      <w:pPr>
        <w:spacing w:after="0"/>
        <w:jc w:val="both"/>
        <w:outlineLvl w:val="0"/>
        <w:rPr>
          <w:b/>
          <w:sz w:val="24"/>
          <w:u w:val="single"/>
        </w:rPr>
      </w:pPr>
    </w:p>
    <w:p w:rsidR="0068781C" w:rsidRDefault="0068781C" w:rsidP="001638A6">
      <w:pPr>
        <w:spacing w:after="0"/>
        <w:jc w:val="both"/>
        <w:rPr>
          <w:b/>
          <w:sz w:val="24"/>
        </w:rPr>
      </w:pPr>
    </w:p>
    <w:p w:rsidR="00FB1614" w:rsidRDefault="00FB1614" w:rsidP="001638A6">
      <w:pPr>
        <w:spacing w:after="0"/>
        <w:jc w:val="both"/>
        <w:rPr>
          <w:b/>
          <w:sz w:val="24"/>
        </w:rPr>
      </w:pPr>
    </w:p>
    <w:p w:rsidR="00FB1614" w:rsidRDefault="00FB1614" w:rsidP="001638A6">
      <w:pPr>
        <w:spacing w:after="0"/>
        <w:jc w:val="both"/>
        <w:rPr>
          <w:b/>
          <w:sz w:val="24"/>
        </w:rPr>
      </w:pPr>
    </w:p>
    <w:p w:rsidR="002F5488" w:rsidRDefault="002F5488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</w:p>
    <w:p w:rsidR="007D6EED" w:rsidRPr="00915AB7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Nužni uvjeti koji moraju biti kumulativno ispunjeni u svrhu registr</w:t>
      </w:r>
      <w:r w:rsidR="007D6EED" w:rsidRPr="00915AB7">
        <w:rPr>
          <w:sz w:val="24"/>
        </w:rPr>
        <w:t>acije projektnog prijedloga</w:t>
      </w:r>
    </w:p>
    <w:p w:rsidR="00AC63DD" w:rsidRPr="00915AB7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su:</w:t>
      </w:r>
    </w:p>
    <w:p w:rsidR="00990E9B" w:rsidRPr="008E403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zaprimljeni prijavni paket/omotnica je </w:t>
      </w:r>
      <w:r w:rsidRPr="008E4032">
        <w:rPr>
          <w:rFonts w:asciiTheme="minorHAnsi" w:hAnsiTheme="minorHAnsi"/>
          <w:sz w:val="24"/>
          <w:szCs w:val="24"/>
        </w:rPr>
        <w:t>zatvoren</w:t>
      </w:r>
      <w:r w:rsidR="00A8051A" w:rsidRPr="008E4032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E4032">
        <w:rPr>
          <w:rFonts w:asciiTheme="minorHAnsi" w:hAnsiTheme="minorHAnsi"/>
          <w:sz w:val="24"/>
          <w:szCs w:val="24"/>
        </w:rPr>
        <w:t>„NE OTVARATI</w:t>
      </w:r>
      <w:r w:rsidR="0027741F" w:rsidRPr="008E4032">
        <w:rPr>
          <w:rFonts w:asciiTheme="minorHAnsi" w:hAnsiTheme="minorHAnsi"/>
          <w:sz w:val="24"/>
          <w:szCs w:val="24"/>
        </w:rPr>
        <w:t xml:space="preserve"> -</w:t>
      </w:r>
      <w:r w:rsidR="00F47E40" w:rsidRPr="008E4032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90D6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>
        <w:rPr>
          <w:rFonts w:asciiTheme="minorHAnsi" w:hAnsiTheme="minorHAnsi"/>
          <w:sz w:val="24"/>
          <w:szCs w:val="24"/>
        </w:rPr>
        <w:t xml:space="preserve">i adresa </w:t>
      </w:r>
      <w:r w:rsidRPr="00890D62">
        <w:rPr>
          <w:rFonts w:asciiTheme="minorHAnsi" w:hAnsiTheme="minorHAnsi"/>
          <w:sz w:val="24"/>
          <w:szCs w:val="24"/>
        </w:rPr>
        <w:t>prijavitelja;</w:t>
      </w:r>
      <w:r w:rsidR="00BF117B" w:rsidRPr="00890D62">
        <w:rPr>
          <w:rFonts w:asciiTheme="minorHAnsi" w:hAnsiTheme="minorHAnsi"/>
          <w:sz w:val="24"/>
          <w:szCs w:val="24"/>
        </w:rPr>
        <w:t xml:space="preserve"> </w:t>
      </w:r>
    </w:p>
    <w:p w:rsidR="009F1D2A" w:rsidRPr="0027741F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</w:pPr>
      <w:r w:rsidRPr="0027741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1638A6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7741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Default="007726FB" w:rsidP="00536869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08" w:name="_Toc452453578"/>
      <w:r w:rsidRPr="001638A6">
        <w:rPr>
          <w:rFonts w:ascii="Cambria" w:eastAsia="SimSun" w:hAnsi="Cambria"/>
          <w:b/>
          <w:bCs/>
          <w:sz w:val="26"/>
          <w:szCs w:val="26"/>
          <w:lang w:val="sl-SI"/>
        </w:rPr>
        <w:t>3.2. Dodatne informacije – pitanja i odgovori</w:t>
      </w:r>
      <w:bookmarkEnd w:id="108"/>
    </w:p>
    <w:p w:rsidR="00541943" w:rsidRDefault="00536869" w:rsidP="00536869">
      <w:pPr>
        <w:spacing w:after="240"/>
        <w:jc w:val="both"/>
        <w:rPr>
          <w:sz w:val="24"/>
        </w:rPr>
      </w:pPr>
      <w:r>
        <w:rPr>
          <w:sz w:val="24"/>
        </w:rPr>
        <w:t>Tijekom trajanja Poziva, p</w:t>
      </w:r>
      <w:r w:rsidR="007726FB" w:rsidRPr="001638A6">
        <w:rPr>
          <w:sz w:val="24"/>
        </w:rPr>
        <w:t xml:space="preserve">itanja se mogu postavljati u pravilu najkasnije 14 kalendarskih dana prije isteka roka za podnošenje projektnih prijedloga </w:t>
      </w:r>
      <w:r w:rsidR="00541943">
        <w:rPr>
          <w:sz w:val="24"/>
        </w:rPr>
        <w:t xml:space="preserve">na </w:t>
      </w:r>
      <w:r w:rsidR="00671AA8">
        <w:rPr>
          <w:sz w:val="24"/>
        </w:rPr>
        <w:t>e-ma</w:t>
      </w:r>
      <w:r w:rsidR="007726FB" w:rsidRPr="001638A6">
        <w:rPr>
          <w:sz w:val="24"/>
        </w:rPr>
        <w:t>il adresu</w:t>
      </w:r>
      <w:r w:rsidR="00C44C13">
        <w:rPr>
          <w:sz w:val="24"/>
        </w:rPr>
        <w:t>:</w:t>
      </w:r>
    </w:p>
    <w:p w:rsidR="00541943" w:rsidRDefault="00541943" w:rsidP="00DF1C02">
      <w:pPr>
        <w:spacing w:after="0"/>
        <w:jc w:val="both"/>
        <w:rPr>
          <w:sz w:val="24"/>
        </w:rPr>
      </w:pPr>
      <w:r w:rsidRPr="00836F48">
        <w:rPr>
          <w:b/>
          <w:sz w:val="24"/>
          <w:u w:val="single"/>
        </w:rPr>
        <w:t>Ministarstvo rada i mirovinskoga sustava</w:t>
      </w:r>
      <w:r w:rsidR="00B627EC">
        <w:rPr>
          <w:b/>
          <w:sz w:val="24"/>
          <w:u w:val="single"/>
        </w:rPr>
        <w:t xml:space="preserve"> - </w:t>
      </w:r>
      <w:r w:rsidR="00C44C13">
        <w:rPr>
          <w:sz w:val="24"/>
        </w:rPr>
        <w:t xml:space="preserve"> </w:t>
      </w:r>
      <w:hyperlink r:id="rId13" w:history="1">
        <w:r w:rsidR="00671AA8" w:rsidRPr="00A110AB">
          <w:rPr>
            <w:rStyle w:val="Hiperveza"/>
            <w:sz w:val="24"/>
          </w:rPr>
          <w:t>esf@mrms.hr</w:t>
        </w:r>
      </w:hyperlink>
    </w:p>
    <w:p w:rsidR="00541943" w:rsidRDefault="00541943" w:rsidP="00DF1C02">
      <w:pPr>
        <w:spacing w:after="0"/>
        <w:jc w:val="both"/>
        <w:rPr>
          <w:sz w:val="24"/>
        </w:rPr>
      </w:pPr>
    </w:p>
    <w:p w:rsidR="00B627EC" w:rsidRDefault="00541943" w:rsidP="00DF1C02">
      <w:pPr>
        <w:spacing w:after="0"/>
        <w:jc w:val="both"/>
        <w:outlineLvl w:val="0"/>
        <w:rPr>
          <w:sz w:val="24"/>
        </w:rPr>
      </w:pPr>
      <w:r>
        <w:rPr>
          <w:b/>
          <w:sz w:val="24"/>
          <w:u w:val="single"/>
        </w:rPr>
        <w:t>Ministarstvo znanosti , obrazovanja i sporta</w:t>
      </w:r>
      <w:r w:rsidR="00B627EC">
        <w:rPr>
          <w:b/>
          <w:sz w:val="24"/>
          <w:u w:val="single"/>
        </w:rPr>
        <w:t xml:space="preserve"> - </w:t>
      </w:r>
      <w:hyperlink r:id="rId14" w:history="1">
        <w:r w:rsidRPr="003D2D92">
          <w:rPr>
            <w:rStyle w:val="Hiperveza"/>
            <w:sz w:val="24"/>
          </w:rPr>
          <w:t>esf@mzos.hr</w:t>
        </w:r>
      </w:hyperlink>
    </w:p>
    <w:p w:rsidR="007726FB" w:rsidRDefault="007726FB" w:rsidP="00710445">
      <w:pPr>
        <w:spacing w:after="0"/>
        <w:jc w:val="both"/>
        <w:rPr>
          <w:sz w:val="24"/>
        </w:rPr>
      </w:pPr>
    </w:p>
    <w:p w:rsidR="007726FB" w:rsidRPr="001638A6" w:rsidRDefault="007726FB" w:rsidP="007726FB">
      <w:pPr>
        <w:jc w:val="both"/>
        <w:rPr>
          <w:sz w:val="24"/>
        </w:rPr>
      </w:pPr>
      <w:r w:rsidRPr="001638A6">
        <w:rPr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>
        <w:rPr>
          <w:sz w:val="24"/>
        </w:rPr>
        <w:t>t</w:t>
      </w:r>
      <w:r w:rsidRPr="001638A6">
        <w:rPr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>
        <w:rPr>
          <w:sz w:val="24"/>
        </w:rPr>
        <w:t>,</w:t>
      </w:r>
      <w:r w:rsidRPr="001638A6">
        <w:rPr>
          <w:sz w:val="24"/>
        </w:rPr>
        <w:t xml:space="preserve"> pitanja i odgovori mogu se objavljivati u zasebnom dokumentu na linku predmetnog </w:t>
      </w:r>
      <w:r w:rsidR="00541943">
        <w:rPr>
          <w:sz w:val="24"/>
        </w:rPr>
        <w:t>Poziva</w:t>
      </w:r>
      <w:r w:rsidRPr="001638A6">
        <w:rPr>
          <w:sz w:val="24"/>
        </w:rPr>
        <w:t>.</w:t>
      </w:r>
    </w:p>
    <w:p w:rsidR="00990E9B" w:rsidRPr="0027741F" w:rsidRDefault="00EE0934" w:rsidP="00D2479A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109" w:name="_Toc372013323"/>
      <w:bookmarkStart w:id="110" w:name="_Toc445990705"/>
      <w:bookmarkStart w:id="111" w:name="_Toc452453579"/>
      <w:r w:rsidRPr="0027741F">
        <w:rPr>
          <w:rFonts w:ascii="Cambria" w:eastAsia="SimSun" w:hAnsi="Cambria"/>
          <w:b/>
          <w:bCs/>
          <w:sz w:val="28"/>
          <w:szCs w:val="28"/>
        </w:rPr>
        <w:t xml:space="preserve">4. </w:t>
      </w:r>
      <w:r w:rsidR="00990E9B" w:rsidRPr="0027741F">
        <w:rPr>
          <w:rFonts w:ascii="Cambria" w:eastAsia="SimSun" w:hAnsi="Cambria"/>
          <w:b/>
          <w:bCs/>
          <w:sz w:val="28"/>
          <w:szCs w:val="28"/>
        </w:rPr>
        <w:t>Postupak dodjele</w:t>
      </w:r>
      <w:bookmarkEnd w:id="109"/>
      <w:bookmarkEnd w:id="110"/>
      <w:bookmarkEnd w:id="111"/>
    </w:p>
    <w:p w:rsidR="00990E9B" w:rsidRPr="00890D62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90D62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prijavitelja i ako je primjenjivo partnera</w:t>
      </w:r>
    </w:p>
    <w:p w:rsidR="00990E9B" w:rsidRPr="005A3D9A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lastRenderedPageBreak/>
        <w:t>Procjena kvalitete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6262AA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D174C1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D174C1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1638A6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1638A6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F1D2A" w:rsidRDefault="009F1D2A" w:rsidP="001638A6">
      <w:p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990E9B" w:rsidRPr="006262AA" w:rsidRDefault="00EE0934" w:rsidP="006262AA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12" w:name="_Toc372013325"/>
      <w:bookmarkStart w:id="113" w:name="_Toc426094967"/>
      <w:bookmarkStart w:id="114" w:name="_Toc445990706"/>
      <w:bookmarkStart w:id="115" w:name="_Toc452453580"/>
      <w:r w:rsidRPr="006262AA">
        <w:rPr>
          <w:rFonts w:ascii="Cambria" w:eastAsia="SimSun" w:hAnsi="Cambria"/>
          <w:b/>
          <w:bCs/>
          <w:sz w:val="26"/>
          <w:szCs w:val="26"/>
          <w:lang w:val="sl-SI"/>
        </w:rPr>
        <w:t xml:space="preserve">4.1 </w:t>
      </w:r>
      <w:r w:rsidR="00990E9B" w:rsidRPr="006262AA">
        <w:rPr>
          <w:rFonts w:ascii="Cambria" w:eastAsia="SimSun" w:hAnsi="Cambria"/>
          <w:b/>
          <w:bCs/>
          <w:sz w:val="26"/>
          <w:szCs w:val="26"/>
          <w:lang w:val="sl-SI"/>
        </w:rPr>
        <w:t>Administrativna provjera</w:t>
      </w:r>
      <w:bookmarkEnd w:id="112"/>
      <w:bookmarkEnd w:id="113"/>
      <w:bookmarkEnd w:id="114"/>
      <w:bookmarkEnd w:id="115"/>
    </w:p>
    <w:p w:rsidR="00990E9B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Nadležno tijelo (</w:t>
      </w:r>
      <w:r w:rsidR="00541943">
        <w:rPr>
          <w:rFonts w:asciiTheme="minorHAnsi" w:hAnsiTheme="minorHAnsi"/>
          <w:sz w:val="24"/>
          <w:szCs w:val="24"/>
        </w:rPr>
        <w:t>UT/</w:t>
      </w:r>
      <w:r w:rsidRPr="00890D62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1638A6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1638A6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3B6C73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1BEB" w:rsidRDefault="00C41BEB" w:rsidP="00C41BEB">
      <w:pPr>
        <w:spacing w:after="0" w:line="240" w:lineRule="auto"/>
        <w:ind w:left="1" w:hanging="1"/>
        <w:jc w:val="both"/>
        <w:rPr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3B6C73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283489" w:rsidP="00A41F6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</w:tbl>
    <w:p w:rsidR="00C41BEB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Ukoliko</w:t>
      </w:r>
      <w:r w:rsidRPr="00CE707B">
        <w:rPr>
          <w:rFonts w:asciiTheme="minorHAnsi" w:hAnsiTheme="minorHAnsi"/>
          <w:sz w:val="24"/>
          <w:szCs w:val="24"/>
        </w:rPr>
        <w:t xml:space="preserve"> bilo koji od gore navedenih uvjeta nije ispunjen, </w:t>
      </w:r>
      <w:r>
        <w:rPr>
          <w:rFonts w:asciiTheme="minorHAnsi" w:hAnsiTheme="minorHAnsi"/>
          <w:sz w:val="24"/>
          <w:szCs w:val="24"/>
        </w:rPr>
        <w:t>operacija</w:t>
      </w:r>
      <w:r w:rsidRPr="00CE707B">
        <w:rPr>
          <w:rFonts w:asciiTheme="minorHAnsi" w:hAnsiTheme="minorHAnsi"/>
          <w:sz w:val="24"/>
          <w:szCs w:val="24"/>
        </w:rPr>
        <w:t xml:space="preserve"> se ne registrira u </w:t>
      </w:r>
      <w:r w:rsidR="00541943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 xml:space="preserve">MIS-u te se isključuje iz </w:t>
      </w:r>
      <w:r>
        <w:rPr>
          <w:rFonts w:asciiTheme="minorHAnsi" w:hAnsiTheme="minorHAnsi"/>
          <w:sz w:val="24"/>
          <w:szCs w:val="24"/>
        </w:rPr>
        <w:t xml:space="preserve">daljnjeg </w:t>
      </w:r>
      <w:r w:rsidRPr="00CE707B">
        <w:rPr>
          <w:rFonts w:asciiTheme="minorHAnsi" w:hAnsiTheme="minorHAnsi"/>
          <w:sz w:val="24"/>
          <w:szCs w:val="24"/>
        </w:rPr>
        <w:t xml:space="preserve">postupka dodjele. </w:t>
      </w: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Operacije</w:t>
      </w:r>
      <w:r w:rsidRPr="00CE707B">
        <w:rPr>
          <w:rFonts w:asciiTheme="minorHAnsi" w:hAnsiTheme="minorHAnsi"/>
          <w:sz w:val="24"/>
          <w:szCs w:val="24"/>
        </w:rPr>
        <w:t xml:space="preserve"> koj</w:t>
      </w:r>
      <w:r>
        <w:rPr>
          <w:rFonts w:asciiTheme="minorHAnsi" w:hAnsiTheme="minorHAnsi"/>
          <w:sz w:val="24"/>
          <w:szCs w:val="24"/>
        </w:rPr>
        <w:t>e</w:t>
      </w:r>
      <w:r w:rsidRPr="00CE707B">
        <w:rPr>
          <w:rFonts w:asciiTheme="minorHAnsi" w:hAnsiTheme="minorHAnsi"/>
          <w:sz w:val="24"/>
          <w:szCs w:val="24"/>
        </w:rPr>
        <w:t xml:space="preserve"> ispunjavaju sve navedene nužne uvjete se, registriraju </w:t>
      </w:r>
      <w:r>
        <w:rPr>
          <w:rFonts w:asciiTheme="minorHAnsi" w:hAnsiTheme="minorHAnsi"/>
          <w:sz w:val="24"/>
          <w:szCs w:val="24"/>
        </w:rPr>
        <w:t xml:space="preserve">se </w:t>
      </w:r>
      <w:r w:rsidRPr="00CE707B">
        <w:rPr>
          <w:rFonts w:asciiTheme="minorHAnsi" w:hAnsiTheme="minorHAnsi"/>
          <w:sz w:val="24"/>
          <w:szCs w:val="24"/>
        </w:rPr>
        <w:t xml:space="preserve">u </w:t>
      </w:r>
      <w:r w:rsidR="001E1E39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>MIS-u</w:t>
      </w:r>
      <w:r>
        <w:rPr>
          <w:rFonts w:asciiTheme="minorHAnsi" w:hAnsiTheme="minorHAnsi"/>
          <w:sz w:val="24"/>
          <w:szCs w:val="24"/>
        </w:rPr>
        <w:t xml:space="preserve"> i dobivaju jedinstveni referentni broj (MIS kod)</w:t>
      </w:r>
      <w:r w:rsidR="00FA23E6">
        <w:rPr>
          <w:rFonts w:asciiTheme="minorHAnsi" w:hAnsiTheme="minorHAnsi"/>
          <w:sz w:val="24"/>
          <w:szCs w:val="24"/>
        </w:rPr>
        <w:t>.</w:t>
      </w:r>
    </w:p>
    <w:p w:rsidR="003E2D68" w:rsidRPr="003E2D6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CE707B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CE707B">
        <w:rPr>
          <w:rFonts w:asciiTheme="minorHAnsi" w:hAnsiTheme="minorHAnsi" w:cs="Lucida Sans Unicode"/>
          <w:sz w:val="24"/>
          <w:szCs w:val="24"/>
        </w:rPr>
        <w:t>, Nadležno t</w:t>
      </w:r>
      <w:r w:rsidRPr="00CE707B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FC0799" w:rsidRDefault="002B3DC8" w:rsidP="008E317D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4"/>
          <w:szCs w:val="24"/>
          <w:u w:val="single"/>
        </w:rPr>
      </w:pPr>
      <w:bookmarkStart w:id="116" w:name="_Toc445990707"/>
      <w:r w:rsidRPr="00FC0799">
        <w:rPr>
          <w:rFonts w:ascii="Cambria" w:eastAsia="SimSun" w:hAnsi="Cambria"/>
          <w:b/>
          <w:bCs/>
          <w:sz w:val="24"/>
          <w:szCs w:val="24"/>
          <w:u w:val="single"/>
        </w:rPr>
        <w:t xml:space="preserve"> </w:t>
      </w:r>
      <w:bookmarkStart w:id="117" w:name="_Toc452453397"/>
      <w:bookmarkStart w:id="118" w:name="_Toc452453581"/>
      <w:r w:rsidR="00CE707B" w:rsidRPr="00FC0799">
        <w:rPr>
          <w:rFonts w:ascii="Cambria" w:eastAsia="SimSun" w:hAnsi="Cambria"/>
          <w:b/>
          <w:bCs/>
          <w:sz w:val="24"/>
          <w:szCs w:val="24"/>
          <w:u w:val="single"/>
        </w:rPr>
        <w:t>Uspostava Odbora za ocjenu operacija (OOO)</w:t>
      </w:r>
      <w:bookmarkEnd w:id="116"/>
      <w:bookmarkEnd w:id="117"/>
      <w:bookmarkEnd w:id="118"/>
    </w:p>
    <w:p w:rsidR="00CE707B" w:rsidRDefault="00CE707B" w:rsidP="00CE707B">
      <w:pPr>
        <w:ind w:left="1" w:hanging="1"/>
        <w:jc w:val="both"/>
        <w:rPr>
          <w:sz w:val="24"/>
        </w:rPr>
      </w:pPr>
      <w:r w:rsidRPr="003B6C73">
        <w:rPr>
          <w:sz w:val="24"/>
        </w:rPr>
        <w:t xml:space="preserve">U svrhu provođenja faze procjene kvalitete, odnosno odabira operacije, </w:t>
      </w:r>
      <w:r w:rsidR="00E913DE">
        <w:rPr>
          <w:sz w:val="24"/>
        </w:rPr>
        <w:t>Nadležno tijelo</w:t>
      </w:r>
      <w:r w:rsidRPr="003B6C73">
        <w:rPr>
          <w:sz w:val="24"/>
        </w:rPr>
        <w:t xml:space="preserve"> osniva Odbor za odabir operacija (OOO)</w:t>
      </w:r>
      <w:r>
        <w:rPr>
          <w:sz w:val="24"/>
        </w:rPr>
        <w:t xml:space="preserve">. </w:t>
      </w:r>
      <w:r w:rsidRPr="00C20EA7">
        <w:rPr>
          <w:rFonts w:asciiTheme="minorHAnsi" w:hAnsiTheme="minorHAnsi"/>
          <w:sz w:val="24"/>
        </w:rPr>
        <w:t xml:space="preserve">Odbor se sastoji od </w:t>
      </w:r>
      <w:r w:rsidRPr="00B551BD">
        <w:rPr>
          <w:sz w:val="24"/>
        </w:rPr>
        <w:t>neparnog broja članova/</w:t>
      </w:r>
      <w:proofErr w:type="spellStart"/>
      <w:r w:rsidRPr="00B551BD">
        <w:rPr>
          <w:sz w:val="24"/>
        </w:rPr>
        <w:t>ica</w:t>
      </w:r>
      <w:proofErr w:type="spellEnd"/>
      <w:r w:rsidRPr="00B551BD">
        <w:rPr>
          <w:sz w:val="24"/>
        </w:rPr>
        <w:t xml:space="preserve">, koje predlaže </w:t>
      </w:r>
      <w:r w:rsidR="00E913DE">
        <w:rPr>
          <w:sz w:val="24"/>
        </w:rPr>
        <w:t>Nadležno Tijelo</w:t>
      </w:r>
      <w:r w:rsidRPr="00B551BD">
        <w:rPr>
          <w:sz w:val="24"/>
        </w:rPr>
        <w:t>.</w:t>
      </w:r>
      <w:r w:rsidRPr="00693F97">
        <w:rPr>
          <w:rFonts w:ascii="Lucida Sans Unicode" w:hAnsi="Lucida Sans Unicode" w:cs="Lucida Sans Unicode"/>
        </w:rPr>
        <w:t xml:space="preserve"> </w:t>
      </w:r>
    </w:p>
    <w:p w:rsidR="00171C3B" w:rsidRDefault="00CE707B" w:rsidP="00A34704">
      <w:pPr>
        <w:keepNext/>
        <w:keepLines/>
        <w:spacing w:before="200" w:after="0"/>
        <w:jc w:val="both"/>
        <w:outlineLvl w:val="1"/>
        <w:rPr>
          <w:sz w:val="24"/>
        </w:rPr>
      </w:pPr>
      <w:bookmarkStart w:id="119" w:name="_Toc452396338"/>
      <w:bookmarkStart w:id="120" w:name="_Toc452453398"/>
      <w:bookmarkStart w:id="121" w:name="_Toc452453582"/>
      <w:r w:rsidRPr="003B6C73">
        <w:rPr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122" w:name="_Toc426094968"/>
      <w:bookmarkStart w:id="123" w:name="_Toc445990708"/>
      <w:bookmarkEnd w:id="119"/>
      <w:bookmarkEnd w:id="120"/>
      <w:bookmarkEnd w:id="121"/>
    </w:p>
    <w:p w:rsidR="00A34704" w:rsidRDefault="00A34704" w:rsidP="00A34704">
      <w:pPr>
        <w:keepNext/>
        <w:keepLines/>
        <w:spacing w:before="200" w:after="0"/>
        <w:jc w:val="both"/>
        <w:outlineLvl w:val="1"/>
        <w:rPr>
          <w:sz w:val="24"/>
        </w:rPr>
      </w:pPr>
    </w:p>
    <w:p w:rsidR="004D7D2F" w:rsidRPr="00A34704" w:rsidRDefault="004D7D2F" w:rsidP="00A34704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24" w:name="_Toc452453583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>4.2 Procjena kvalitete</w:t>
      </w:r>
      <w:bookmarkEnd w:id="124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</w:p>
    <w:bookmarkEnd w:id="122"/>
    <w:bookmarkEnd w:id="123"/>
    <w:p w:rsidR="007767A9" w:rsidRDefault="001D3D48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Procjena kvalitete obuhvaća</w:t>
      </w:r>
      <w:r w:rsidR="006D7F46" w:rsidRPr="00033E30">
        <w:rPr>
          <w:sz w:val="24"/>
          <w:szCs w:val="24"/>
        </w:rPr>
        <w:t>,</w:t>
      </w:r>
      <w:r w:rsidRPr="00033E30">
        <w:rPr>
          <w:sz w:val="24"/>
          <w:szCs w:val="24"/>
        </w:rPr>
        <w:t xml:space="preserve"> </w:t>
      </w:r>
      <w:r w:rsidR="00A41751">
        <w:rPr>
          <w:sz w:val="24"/>
          <w:szCs w:val="24"/>
        </w:rPr>
        <w:t xml:space="preserve">provjeru prihvatljivosti </w:t>
      </w:r>
      <w:r w:rsidRPr="00033E30">
        <w:rPr>
          <w:sz w:val="24"/>
          <w:szCs w:val="24"/>
        </w:rPr>
        <w:t xml:space="preserve">projektnih aktivnosti, ocjenjivanje kvalitete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 xml:space="preserve">te provjeru prihvatljivosti izdataka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>koju vrši Odbor za</w:t>
      </w:r>
      <w:r w:rsidR="00CE707B" w:rsidRPr="00033E30">
        <w:rPr>
          <w:sz w:val="24"/>
          <w:szCs w:val="24"/>
        </w:rPr>
        <w:t xml:space="preserve"> </w:t>
      </w:r>
      <w:r w:rsidR="00CB1B92" w:rsidRPr="00033E30">
        <w:rPr>
          <w:sz w:val="24"/>
          <w:szCs w:val="24"/>
        </w:rPr>
        <w:t>ocjenu</w:t>
      </w:r>
      <w:r w:rsidRPr="00033E30">
        <w:rPr>
          <w:sz w:val="24"/>
          <w:szCs w:val="24"/>
        </w:rPr>
        <w:t xml:space="preserve"> operacija</w:t>
      </w:r>
      <w:r w:rsidR="00CE707B" w:rsidRPr="00033E30">
        <w:rPr>
          <w:sz w:val="24"/>
          <w:szCs w:val="24"/>
        </w:rPr>
        <w:t xml:space="preserve"> (OOO)</w:t>
      </w:r>
      <w:r w:rsidRPr="00033E30">
        <w:rPr>
          <w:sz w:val="24"/>
          <w:szCs w:val="24"/>
        </w:rPr>
        <w:t xml:space="preserve">. </w:t>
      </w:r>
    </w:p>
    <w:p w:rsidR="006D7F46" w:rsidRPr="00033E30" w:rsidRDefault="006D7F46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 xml:space="preserve">Cilj provjere prihvatljivosti aktivnosti jest provjeriti usklađenost projektnih prijedloga s kriterijima prihvatljivosti za projektne aktivnosti, kako je definirano u </w:t>
      </w:r>
      <w:r w:rsidR="00397C18">
        <w:rPr>
          <w:sz w:val="24"/>
          <w:szCs w:val="24"/>
        </w:rPr>
        <w:t>Pozivu</w:t>
      </w:r>
      <w:r w:rsidRPr="00033E30">
        <w:rPr>
          <w:sz w:val="24"/>
          <w:szCs w:val="24"/>
        </w:rPr>
        <w:t>. Projektni prijedlozi moraju udovoljiti svim kriterijima prihvatljivosti projektnih aktivnosti i izdataka kako bi se mogla donijeti Odluka o financiranju.</w:t>
      </w:r>
    </w:p>
    <w:p w:rsidR="00171C3B" w:rsidRDefault="001D3D48" w:rsidP="001638A6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 xml:space="preserve">Prema potrebi, Odbor uz prijavne obrasce i obvezne priloge može </w:t>
      </w:r>
      <w:r w:rsidR="001A7BA6" w:rsidRPr="00033E30">
        <w:rPr>
          <w:sz w:val="24"/>
          <w:szCs w:val="24"/>
        </w:rPr>
        <w:t xml:space="preserve">za predmetnu operaciju </w:t>
      </w:r>
      <w:r w:rsidRPr="00033E30">
        <w:rPr>
          <w:sz w:val="24"/>
          <w:szCs w:val="24"/>
        </w:rPr>
        <w:t xml:space="preserve">konzultirati i Sažetak operacije </w:t>
      </w:r>
      <w:r w:rsidR="001A7BA6" w:rsidRPr="00033E30">
        <w:rPr>
          <w:sz w:val="24"/>
          <w:szCs w:val="24"/>
        </w:rPr>
        <w:t>odobren</w:t>
      </w:r>
      <w:r w:rsidR="001A7BA6">
        <w:rPr>
          <w:sz w:val="24"/>
          <w:szCs w:val="24"/>
        </w:rPr>
        <w:t xml:space="preserve"> </w:t>
      </w:r>
      <w:r w:rsidRPr="00033E30">
        <w:rPr>
          <w:sz w:val="24"/>
          <w:szCs w:val="24"/>
        </w:rPr>
        <w:t>od strane UT</w:t>
      </w:r>
      <w:r w:rsidR="00C4132E" w:rsidRPr="00033E30">
        <w:rPr>
          <w:sz w:val="24"/>
          <w:szCs w:val="24"/>
        </w:rPr>
        <w:t>-a</w:t>
      </w:r>
      <w:r w:rsidRPr="00033E30">
        <w:rPr>
          <w:sz w:val="24"/>
          <w:szCs w:val="24"/>
        </w:rPr>
        <w:t>.</w:t>
      </w:r>
      <w:bookmarkStart w:id="125" w:name="_Toc445990709"/>
    </w:p>
    <w:p w:rsidR="00D07CCC" w:rsidRDefault="00D07CCC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FB1614" w:rsidRDefault="00FB1614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990E9B" w:rsidRPr="00D07CCC" w:rsidRDefault="00F05B76" w:rsidP="006E55C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126" w:name="_Toc452453584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4.2.1. </w:t>
      </w:r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Kriteriji prihvatljivosti</w:t>
      </w:r>
      <w:bookmarkEnd w:id="125"/>
      <w:bookmarkEnd w:id="126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D95E4A" w:rsidRPr="003B6C73" w:rsidTr="00FE1FF8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283489" w:rsidRPr="003B6C73" w:rsidTr="000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15325D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projekta</w:t>
            </w:r>
            <w:r w:rsidR="000E3B4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i</w:t>
            </w: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potporama</w:t>
            </w:r>
            <w:proofErr w:type="spellEnd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F6B16" w:rsidDel="0059548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0E3B43" w:rsidRPr="003B6C73" w:rsidTr="000E3B43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541943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541943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541943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F6B16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</w:t>
            </w:r>
            <w:r w:rsidR="00302A9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</w:t>
            </w: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potpore.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2F6B16" w:rsidRDefault="002F6B16" w:rsidP="007D0F7D">
      <w:pPr>
        <w:keepNext/>
        <w:keepLines/>
        <w:spacing w:before="200" w:after="0"/>
        <w:outlineLvl w:val="2"/>
        <w:rPr>
          <w:rFonts w:ascii="Cambria" w:eastAsia="SimSun" w:hAnsi="Cambria"/>
          <w:b/>
          <w:bCs/>
          <w:sz w:val="26"/>
          <w:szCs w:val="26"/>
        </w:rPr>
      </w:pPr>
    </w:p>
    <w:p w:rsidR="001B1405" w:rsidRPr="00D07CCC" w:rsidRDefault="003B6C73" w:rsidP="00302A9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127" w:name="_Toc445990710"/>
      <w:bookmarkStart w:id="128" w:name="_Toc452453585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4.</w:t>
      </w:r>
      <w:r w:rsidR="00165702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2</w:t>
      </w:r>
      <w:r w:rsidR="007D0F7D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.</w:t>
      </w:r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2 </w:t>
      </w:r>
      <w:r w:rsidR="007775AA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Kriteriji dodjele</w:t>
      </w:r>
      <w:bookmarkEnd w:id="127"/>
      <w:bookmarkEnd w:id="128"/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</w:t>
      </w:r>
    </w:p>
    <w:p w:rsidR="001B1405" w:rsidRPr="00B551BD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AF55DB">
        <w:rPr>
          <w:rFonts w:asciiTheme="minorHAnsi" w:hAnsiTheme="minorHAnsi"/>
          <w:sz w:val="24"/>
          <w:szCs w:val="24"/>
        </w:rPr>
        <w:t>Nakon provjere prihvatljivosti</w:t>
      </w:r>
      <w:r w:rsidR="007D0F7D" w:rsidRPr="00AF55DB">
        <w:rPr>
          <w:rFonts w:asciiTheme="minorHAnsi" w:hAnsiTheme="minorHAnsi"/>
          <w:sz w:val="24"/>
          <w:szCs w:val="24"/>
        </w:rPr>
        <w:t xml:space="preserve">, </w:t>
      </w:r>
      <w:r w:rsidRPr="00AF55DB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AF55DB">
        <w:rPr>
          <w:rFonts w:asciiTheme="minorHAnsi" w:hAnsiTheme="minorHAnsi"/>
          <w:sz w:val="24"/>
          <w:szCs w:val="24"/>
        </w:rPr>
        <w:t>D</w:t>
      </w:r>
      <w:r w:rsidRPr="00AF55DB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AF55DB">
        <w:rPr>
          <w:rFonts w:asciiTheme="minorHAnsi" w:hAnsiTheme="minorHAnsi"/>
          <w:sz w:val="24"/>
          <w:szCs w:val="24"/>
        </w:rPr>
        <w:t>a</w:t>
      </w:r>
      <w:r w:rsidRPr="00AF55DB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5" w:history="1">
        <w:r w:rsidRPr="00B551BD">
          <w:rPr>
            <w:rStyle w:val="Hiperveza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B551BD">
          <w:rPr>
            <w:rStyle w:val="Hiperveza"/>
            <w:rFonts w:asciiTheme="minorHAnsi" w:hAnsiTheme="minorHAnsi"/>
            <w:sz w:val="24"/>
            <w:szCs w:val="24"/>
          </w:rPr>
          <w:t>,</w:t>
        </w:r>
      </w:hyperlink>
      <w:r w:rsidR="007D0F7D" w:rsidRPr="00AF55DB">
        <w:rPr>
          <w:rFonts w:asciiTheme="minorHAnsi" w:hAnsiTheme="minorHAnsi"/>
          <w:sz w:val="24"/>
          <w:szCs w:val="24"/>
        </w:rPr>
        <w:t xml:space="preserve"> a </w:t>
      </w:r>
      <w:r w:rsidRPr="00AF55DB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AF55DB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AF55DB">
        <w:rPr>
          <w:rFonts w:asciiTheme="minorHAnsi" w:hAnsiTheme="minorHAnsi"/>
          <w:sz w:val="24"/>
          <w:szCs w:val="24"/>
        </w:rPr>
        <w:t xml:space="preserve">navedenog operativnog </w:t>
      </w:r>
      <w:r w:rsidRPr="00AF55DB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AF55DB">
        <w:rPr>
          <w:rFonts w:asciiTheme="minorHAnsi" w:hAnsiTheme="minorHAnsi"/>
          <w:sz w:val="24"/>
          <w:szCs w:val="24"/>
        </w:rPr>
        <w:t xml:space="preserve"> određen</w:t>
      </w:r>
      <w:r w:rsidR="007D0F7D" w:rsidRPr="00AF55DB">
        <w:rPr>
          <w:rFonts w:asciiTheme="minorHAnsi" w:hAnsiTheme="minorHAnsi"/>
          <w:sz w:val="24"/>
          <w:szCs w:val="24"/>
        </w:rPr>
        <w:t>a operacija/</w:t>
      </w:r>
      <w:r w:rsidRPr="00AF55DB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AF55DB">
        <w:rPr>
          <w:rFonts w:asciiTheme="minorHAnsi" w:hAnsiTheme="minorHAnsi"/>
          <w:sz w:val="24"/>
          <w:szCs w:val="24"/>
        </w:rPr>
        <w:t>i kvalitete operacija</w:t>
      </w:r>
      <w:r w:rsidR="00F920D5" w:rsidRPr="00AF55DB">
        <w:rPr>
          <w:rFonts w:asciiTheme="minorHAnsi" w:hAnsiTheme="minorHAnsi"/>
          <w:sz w:val="24"/>
          <w:szCs w:val="24"/>
        </w:rPr>
        <w:t>,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 xml:space="preserve">OOO </w:t>
      </w:r>
      <w:r w:rsidR="007D0F7D" w:rsidRPr="00AF55DB">
        <w:rPr>
          <w:rFonts w:asciiTheme="minorHAnsi" w:hAnsiTheme="minorHAnsi"/>
          <w:sz w:val="24"/>
          <w:szCs w:val="24"/>
        </w:rPr>
        <w:t>zaključuje svoj</w:t>
      </w:r>
      <w:r w:rsidRPr="00AF55DB">
        <w:rPr>
          <w:rFonts w:asciiTheme="minorHAnsi" w:hAnsiTheme="minorHAnsi"/>
          <w:sz w:val="24"/>
          <w:szCs w:val="24"/>
        </w:rPr>
        <w:t xml:space="preserve"> rad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>
        <w:rPr>
          <w:rFonts w:asciiTheme="minorHAnsi" w:hAnsiTheme="minorHAnsi"/>
          <w:sz w:val="24"/>
          <w:szCs w:val="24"/>
        </w:rPr>
        <w:t xml:space="preserve"> </w:t>
      </w:r>
    </w:p>
    <w:p w:rsidR="00B66AEA" w:rsidRDefault="00B66AEA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</w:p>
    <w:p w:rsidR="00990E9B" w:rsidRPr="008A14BA" w:rsidRDefault="00883824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r w:rsidRPr="00D07CCC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  <w:bookmarkStart w:id="129" w:name="_Toc372013328"/>
      <w:bookmarkStart w:id="130" w:name="_Toc445990711"/>
      <w:bookmarkStart w:id="131" w:name="_Toc452453586"/>
      <w:r w:rsidR="00165702" w:rsidRPr="008A14BA">
        <w:rPr>
          <w:rFonts w:ascii="Cambria" w:eastAsia="SimSun" w:hAnsi="Cambria"/>
          <w:b/>
          <w:bCs/>
          <w:sz w:val="26"/>
          <w:szCs w:val="26"/>
          <w:lang w:val="sl-SI"/>
        </w:rPr>
        <w:t>4.3</w:t>
      </w:r>
      <w:r w:rsidR="003B6C73" w:rsidRPr="008A14BA">
        <w:rPr>
          <w:rFonts w:ascii="Cambria" w:eastAsia="SimSun" w:hAnsi="Cambria"/>
          <w:b/>
          <w:bCs/>
          <w:sz w:val="26"/>
          <w:szCs w:val="26"/>
          <w:lang w:val="sl-SI"/>
        </w:rPr>
        <w:t xml:space="preserve">. </w:t>
      </w:r>
      <w:r w:rsidR="00990E9B" w:rsidRPr="008A14BA">
        <w:rPr>
          <w:rFonts w:ascii="Cambria" w:eastAsia="SimSun" w:hAnsi="Cambria"/>
          <w:b/>
          <w:bCs/>
          <w:sz w:val="26"/>
          <w:szCs w:val="26"/>
          <w:lang w:val="sl-SI"/>
        </w:rPr>
        <w:t>Odluka o financiranju</w:t>
      </w:r>
      <w:bookmarkEnd w:id="129"/>
      <w:bookmarkEnd w:id="130"/>
      <w:bookmarkEnd w:id="131"/>
    </w:p>
    <w:p w:rsidR="00E509A6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B66AEA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B66AEA">
        <w:rPr>
          <w:rFonts w:asciiTheme="minorHAnsi" w:hAnsiTheme="minorHAnsi"/>
          <w:sz w:val="24"/>
          <w:szCs w:val="24"/>
        </w:rPr>
        <w:t>O</w:t>
      </w:r>
      <w:r w:rsidRPr="00B66AEA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802F4D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02F4D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802F4D">
        <w:rPr>
          <w:rFonts w:asciiTheme="minorHAnsi" w:hAnsiTheme="minorHAnsi" w:cs="Lucida Sans Unicode"/>
          <w:sz w:val="24"/>
          <w:szCs w:val="24"/>
        </w:rPr>
        <w:t>-</w:t>
      </w:r>
      <w:r w:rsidRPr="00802F4D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02F4D">
        <w:rPr>
          <w:rFonts w:asciiTheme="minorHAnsi" w:hAnsiTheme="minorHAnsi" w:cs="Lucida Sans Unicode"/>
          <w:sz w:val="24"/>
          <w:szCs w:val="24"/>
        </w:rPr>
        <w:t xml:space="preserve"> </w:t>
      </w:r>
      <w:r w:rsidRPr="00802F4D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D32694" w:rsidRDefault="008626DD" w:rsidP="00D32694">
      <w:pPr>
        <w:jc w:val="both"/>
        <w:rPr>
          <w:rFonts w:asciiTheme="minorHAnsi" w:hAnsiTheme="minorHAnsi" w:cs="Lucida Sans Unicode"/>
        </w:rPr>
      </w:pPr>
      <w:r w:rsidRPr="00802F4D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02F4D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>
        <w:rPr>
          <w:rFonts w:asciiTheme="minorHAnsi" w:hAnsiTheme="minorHAnsi" w:cs="Lucida Sans Unicode"/>
        </w:rPr>
        <w:t>.</w:t>
      </w:r>
    </w:p>
    <w:p w:rsidR="00321621" w:rsidRPr="009D5530" w:rsidRDefault="001638A6" w:rsidP="009D5530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132" w:name="_Toc372013330"/>
      <w:bookmarkStart w:id="133" w:name="_Toc445990712"/>
      <w:bookmarkStart w:id="134" w:name="_Toc452453587"/>
      <w:r w:rsidRPr="009D5530">
        <w:rPr>
          <w:rFonts w:ascii="Cambria" w:eastAsia="SimSun" w:hAnsi="Cambria"/>
          <w:b/>
          <w:bCs/>
          <w:sz w:val="28"/>
          <w:szCs w:val="28"/>
        </w:rPr>
        <w:lastRenderedPageBreak/>
        <w:t>5</w:t>
      </w:r>
      <w:r w:rsidR="003B6C73" w:rsidRPr="009D5530">
        <w:rPr>
          <w:rFonts w:ascii="Cambria" w:eastAsia="SimSun" w:hAnsi="Cambria"/>
          <w:b/>
          <w:bCs/>
          <w:sz w:val="28"/>
          <w:szCs w:val="28"/>
        </w:rPr>
        <w:t xml:space="preserve">. </w:t>
      </w:r>
      <w:r w:rsidR="002706CA" w:rsidRPr="009D5530">
        <w:rPr>
          <w:rFonts w:ascii="Cambria" w:eastAsia="SimSun" w:hAnsi="Cambria"/>
          <w:b/>
          <w:bCs/>
          <w:sz w:val="28"/>
          <w:szCs w:val="28"/>
        </w:rPr>
        <w:t>Ugovor o dodjeli bespovratnih sredstava</w:t>
      </w:r>
      <w:bookmarkEnd w:id="132"/>
      <w:bookmarkEnd w:id="133"/>
      <w:bookmarkEnd w:id="134"/>
    </w:p>
    <w:p w:rsidR="002706CA" w:rsidRDefault="002706CA" w:rsidP="00CF3F10">
      <w:pPr>
        <w:pStyle w:val="Naslov1"/>
        <w:spacing w:after="36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bookmarkStart w:id="135" w:name="_Toc445990713"/>
      <w:bookmarkStart w:id="136" w:name="_Toc445991373"/>
      <w:bookmarkStart w:id="137" w:name="_Toc452396230"/>
      <w:bookmarkStart w:id="138" w:name="_Toc452396343"/>
      <w:bookmarkStart w:id="139" w:name="_Toc452453403"/>
      <w:bookmarkStart w:id="140" w:name="_Toc452453588"/>
      <w:r w:rsidRPr="00033E30">
        <w:rPr>
          <w:rFonts w:asciiTheme="minorHAnsi" w:hAnsiTheme="minorHAnsi"/>
          <w:b w:val="0"/>
          <w:color w:val="auto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35"/>
      <w:bookmarkEnd w:id="136"/>
      <w:bookmarkEnd w:id="137"/>
      <w:bookmarkEnd w:id="138"/>
      <w:bookmarkEnd w:id="139"/>
      <w:bookmarkEnd w:id="140"/>
    </w:p>
    <w:p w:rsidR="00990E9B" w:rsidRPr="003B6C73" w:rsidRDefault="002706CA" w:rsidP="00FB1614">
      <w:pPr>
        <w:ind w:left="1" w:hanging="1"/>
        <w:jc w:val="both"/>
      </w:pPr>
      <w:r w:rsidRPr="00033E30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>
        <w:rPr>
          <w:rFonts w:asciiTheme="minorHAnsi" w:hAnsiTheme="minorHAnsi"/>
          <w:sz w:val="24"/>
          <w:szCs w:val="24"/>
        </w:rPr>
        <w:t>T</w:t>
      </w:r>
      <w:r w:rsidRPr="00033E30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3B6C73" w:rsidSect="00FE0E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87" w:rsidRDefault="009B7A87" w:rsidP="00AE5BB9">
      <w:pPr>
        <w:spacing w:after="0" w:line="240" w:lineRule="auto"/>
      </w:pPr>
      <w:r>
        <w:separator/>
      </w:r>
    </w:p>
  </w:endnote>
  <w:endnote w:type="continuationSeparator" w:id="0">
    <w:p w:rsidR="009B7A87" w:rsidRDefault="009B7A87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E3" w:rsidRDefault="00F771E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F771E3" w:rsidRDefault="00F771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D2">
          <w:rPr>
            <w:noProof/>
          </w:rPr>
          <w:t>2</w:t>
        </w:r>
        <w:r>
          <w:fldChar w:fldCharType="end"/>
        </w:r>
      </w:p>
    </w:sdtContent>
  </w:sdt>
  <w:p w:rsidR="00F771E3" w:rsidRDefault="00F771E3">
    <w:pPr>
      <w:pStyle w:val="Podnoje"/>
    </w:pPr>
    <w:r>
      <w:t xml:space="preserve">                            </w:t>
    </w:r>
    <w:r w:rsidRPr="00651E18">
      <w:rPr>
        <w:b/>
        <w:bCs/>
        <w:i/>
        <w:iCs/>
        <w:noProof/>
        <w:color w:val="1F497D"/>
        <w:sz w:val="24"/>
        <w:szCs w:val="24"/>
        <w:lang w:eastAsia="hr-HR"/>
      </w:rPr>
      <w:drawing>
        <wp:inline distT="0" distB="0" distL="0" distR="0" wp14:anchorId="58585C41" wp14:editId="50D807B9">
          <wp:extent cx="3876675" cy="676275"/>
          <wp:effectExtent l="0" t="0" r="0" b="9525"/>
          <wp:docPr id="4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E3" w:rsidRDefault="00F771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87" w:rsidRDefault="009B7A87" w:rsidP="00AE5BB9">
      <w:pPr>
        <w:spacing w:after="0" w:line="240" w:lineRule="auto"/>
      </w:pPr>
      <w:r>
        <w:separator/>
      </w:r>
    </w:p>
  </w:footnote>
  <w:footnote w:type="continuationSeparator" w:id="0">
    <w:p w:rsidR="009B7A87" w:rsidRDefault="009B7A87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E3" w:rsidRDefault="009B7A8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8" o:spid="_x0000_s2050" type="#_x0000_t75" style="position:absolute;margin-left:0;margin-top:0;width:453.2pt;height:306.45pt;z-index:-251657216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E3" w:rsidRDefault="009B7A8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9" o:spid="_x0000_s2051" type="#_x0000_t75" style="position:absolute;margin-left:0;margin-top:0;width:453.2pt;height:306.45pt;z-index:-251656192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F771E3">
      <w:rPr>
        <w:noProof/>
        <w:lang w:eastAsia="hr-HR"/>
      </w:rPr>
      <w:drawing>
        <wp:inline distT="0" distB="0" distL="0" distR="0" wp14:anchorId="3126AA9E" wp14:editId="336C451E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E3" w:rsidRDefault="009B7A8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7" o:spid="_x0000_s2049" type="#_x0000_t75" style="position:absolute;margin-left:0;margin-top:0;width:453.2pt;height:306.45pt;z-index:-251658240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F771E3">
      <w:rPr>
        <w:noProof/>
        <w:lang w:eastAsia="hr-HR"/>
      </w:rPr>
      <w:drawing>
        <wp:inline distT="0" distB="0" distL="0" distR="0" wp14:anchorId="3E09E87E" wp14:editId="1D28EF89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5912"/>
    <w:rsid w:val="0003747B"/>
    <w:rsid w:val="00041940"/>
    <w:rsid w:val="00042F31"/>
    <w:rsid w:val="00045614"/>
    <w:rsid w:val="000461D2"/>
    <w:rsid w:val="000678F7"/>
    <w:rsid w:val="000741A0"/>
    <w:rsid w:val="00080983"/>
    <w:rsid w:val="00083164"/>
    <w:rsid w:val="000845C5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D665E"/>
    <w:rsid w:val="000E3B43"/>
    <w:rsid w:val="000E7726"/>
    <w:rsid w:val="000F1CA2"/>
    <w:rsid w:val="000F1FBC"/>
    <w:rsid w:val="000F57D6"/>
    <w:rsid w:val="001140A5"/>
    <w:rsid w:val="00117836"/>
    <w:rsid w:val="0012041F"/>
    <w:rsid w:val="00124FAF"/>
    <w:rsid w:val="00130E5D"/>
    <w:rsid w:val="0013285E"/>
    <w:rsid w:val="00133B14"/>
    <w:rsid w:val="001342BE"/>
    <w:rsid w:val="00135A76"/>
    <w:rsid w:val="00140BEC"/>
    <w:rsid w:val="001414A5"/>
    <w:rsid w:val="0015325D"/>
    <w:rsid w:val="00156A28"/>
    <w:rsid w:val="001636C7"/>
    <w:rsid w:val="001638A6"/>
    <w:rsid w:val="0016421D"/>
    <w:rsid w:val="00165702"/>
    <w:rsid w:val="00170E3C"/>
    <w:rsid w:val="00171C3B"/>
    <w:rsid w:val="001735F0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1E39"/>
    <w:rsid w:val="001E3A5D"/>
    <w:rsid w:val="001E6A29"/>
    <w:rsid w:val="001F649D"/>
    <w:rsid w:val="0020192D"/>
    <w:rsid w:val="00203811"/>
    <w:rsid w:val="00204B4A"/>
    <w:rsid w:val="00213161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0C33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21CB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63FC3"/>
    <w:rsid w:val="00397C18"/>
    <w:rsid w:val="003A426F"/>
    <w:rsid w:val="003B105D"/>
    <w:rsid w:val="003B5165"/>
    <w:rsid w:val="003B6C73"/>
    <w:rsid w:val="003C0B09"/>
    <w:rsid w:val="003C4839"/>
    <w:rsid w:val="003D12D2"/>
    <w:rsid w:val="003D1772"/>
    <w:rsid w:val="003D56A1"/>
    <w:rsid w:val="003E2D68"/>
    <w:rsid w:val="003E3F8C"/>
    <w:rsid w:val="00400334"/>
    <w:rsid w:val="0040044A"/>
    <w:rsid w:val="00411E27"/>
    <w:rsid w:val="00413011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2145"/>
    <w:rsid w:val="004A1378"/>
    <w:rsid w:val="004A394A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56CC"/>
    <w:rsid w:val="00526EFB"/>
    <w:rsid w:val="00536869"/>
    <w:rsid w:val="00541943"/>
    <w:rsid w:val="00542E8F"/>
    <w:rsid w:val="00542EC7"/>
    <w:rsid w:val="00552673"/>
    <w:rsid w:val="00552C1B"/>
    <w:rsid w:val="0056459E"/>
    <w:rsid w:val="00564FE3"/>
    <w:rsid w:val="005678BA"/>
    <w:rsid w:val="00580B24"/>
    <w:rsid w:val="005870EF"/>
    <w:rsid w:val="005911E0"/>
    <w:rsid w:val="00592008"/>
    <w:rsid w:val="00594875"/>
    <w:rsid w:val="005A23CA"/>
    <w:rsid w:val="005A3042"/>
    <w:rsid w:val="005A3D9A"/>
    <w:rsid w:val="005A4186"/>
    <w:rsid w:val="005B16F5"/>
    <w:rsid w:val="005B7A41"/>
    <w:rsid w:val="005C3ABA"/>
    <w:rsid w:val="005C7FC2"/>
    <w:rsid w:val="005D1313"/>
    <w:rsid w:val="005D4C50"/>
    <w:rsid w:val="005D7705"/>
    <w:rsid w:val="005E299F"/>
    <w:rsid w:val="005E3C5B"/>
    <w:rsid w:val="005E40DE"/>
    <w:rsid w:val="005E62C6"/>
    <w:rsid w:val="005F07D9"/>
    <w:rsid w:val="005F29C4"/>
    <w:rsid w:val="005F5BFA"/>
    <w:rsid w:val="005F6EB5"/>
    <w:rsid w:val="00600F9F"/>
    <w:rsid w:val="00604FBD"/>
    <w:rsid w:val="00622A01"/>
    <w:rsid w:val="006262AA"/>
    <w:rsid w:val="0063085B"/>
    <w:rsid w:val="00633EC4"/>
    <w:rsid w:val="00637FB7"/>
    <w:rsid w:val="00644BF6"/>
    <w:rsid w:val="00645413"/>
    <w:rsid w:val="00645E52"/>
    <w:rsid w:val="00651FF0"/>
    <w:rsid w:val="006559DF"/>
    <w:rsid w:val="00663E40"/>
    <w:rsid w:val="00664128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35DA"/>
    <w:rsid w:val="006E45F5"/>
    <w:rsid w:val="006E55CF"/>
    <w:rsid w:val="006E7270"/>
    <w:rsid w:val="006E7AE1"/>
    <w:rsid w:val="006F4DE0"/>
    <w:rsid w:val="006F5E13"/>
    <w:rsid w:val="006F5F99"/>
    <w:rsid w:val="006F69CC"/>
    <w:rsid w:val="00703A2F"/>
    <w:rsid w:val="00707234"/>
    <w:rsid w:val="00710445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2151"/>
    <w:rsid w:val="00733A1F"/>
    <w:rsid w:val="00735757"/>
    <w:rsid w:val="00743287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B23FC"/>
    <w:rsid w:val="007B70A1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043D2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6548"/>
    <w:rsid w:val="0098713B"/>
    <w:rsid w:val="00990E9B"/>
    <w:rsid w:val="009939E7"/>
    <w:rsid w:val="009A4F85"/>
    <w:rsid w:val="009A58D9"/>
    <w:rsid w:val="009A7CB7"/>
    <w:rsid w:val="009B39ED"/>
    <w:rsid w:val="009B7A87"/>
    <w:rsid w:val="009C6C2C"/>
    <w:rsid w:val="009C7E73"/>
    <w:rsid w:val="009D0DC4"/>
    <w:rsid w:val="009D5530"/>
    <w:rsid w:val="009D7D3F"/>
    <w:rsid w:val="009E3372"/>
    <w:rsid w:val="009E740A"/>
    <w:rsid w:val="009F1D2A"/>
    <w:rsid w:val="00A017D1"/>
    <w:rsid w:val="00A02196"/>
    <w:rsid w:val="00A04553"/>
    <w:rsid w:val="00A068C1"/>
    <w:rsid w:val="00A10A2E"/>
    <w:rsid w:val="00A11E22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0AAE"/>
    <w:rsid w:val="00A6108F"/>
    <w:rsid w:val="00A67191"/>
    <w:rsid w:val="00A67C48"/>
    <w:rsid w:val="00A77016"/>
    <w:rsid w:val="00A8051A"/>
    <w:rsid w:val="00A908E4"/>
    <w:rsid w:val="00AA1E37"/>
    <w:rsid w:val="00AB29CB"/>
    <w:rsid w:val="00AC63DD"/>
    <w:rsid w:val="00AD175D"/>
    <w:rsid w:val="00AD2ECC"/>
    <w:rsid w:val="00AE11AA"/>
    <w:rsid w:val="00AE5BB9"/>
    <w:rsid w:val="00AF1D3B"/>
    <w:rsid w:val="00AF3528"/>
    <w:rsid w:val="00AF4DE0"/>
    <w:rsid w:val="00AF55DB"/>
    <w:rsid w:val="00B00E33"/>
    <w:rsid w:val="00B0209C"/>
    <w:rsid w:val="00B117EF"/>
    <w:rsid w:val="00B157F8"/>
    <w:rsid w:val="00B15D50"/>
    <w:rsid w:val="00B31397"/>
    <w:rsid w:val="00B407C2"/>
    <w:rsid w:val="00B40B17"/>
    <w:rsid w:val="00B424F1"/>
    <w:rsid w:val="00B463EB"/>
    <w:rsid w:val="00B5110B"/>
    <w:rsid w:val="00B551BD"/>
    <w:rsid w:val="00B57BA1"/>
    <w:rsid w:val="00B60DCE"/>
    <w:rsid w:val="00B627EC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01BF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3E4E"/>
    <w:rsid w:val="00C0461F"/>
    <w:rsid w:val="00C108BB"/>
    <w:rsid w:val="00C1380B"/>
    <w:rsid w:val="00C20D5F"/>
    <w:rsid w:val="00C20EA7"/>
    <w:rsid w:val="00C24A58"/>
    <w:rsid w:val="00C333FE"/>
    <w:rsid w:val="00C4132E"/>
    <w:rsid w:val="00C41BEB"/>
    <w:rsid w:val="00C439DA"/>
    <w:rsid w:val="00C44C13"/>
    <w:rsid w:val="00C527C5"/>
    <w:rsid w:val="00C62D64"/>
    <w:rsid w:val="00C66187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208"/>
    <w:rsid w:val="00CB48C4"/>
    <w:rsid w:val="00CC00CD"/>
    <w:rsid w:val="00CC13B0"/>
    <w:rsid w:val="00CC1532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5586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3FF2"/>
    <w:rsid w:val="00D76280"/>
    <w:rsid w:val="00D76AFD"/>
    <w:rsid w:val="00D81E2D"/>
    <w:rsid w:val="00D92CD6"/>
    <w:rsid w:val="00D95E4A"/>
    <w:rsid w:val="00D978B3"/>
    <w:rsid w:val="00DA5CC1"/>
    <w:rsid w:val="00DA5E86"/>
    <w:rsid w:val="00DB1D42"/>
    <w:rsid w:val="00DB3B18"/>
    <w:rsid w:val="00DB4646"/>
    <w:rsid w:val="00DB5480"/>
    <w:rsid w:val="00DB6FD9"/>
    <w:rsid w:val="00DC2F8D"/>
    <w:rsid w:val="00DD2DF7"/>
    <w:rsid w:val="00DD5062"/>
    <w:rsid w:val="00DD7264"/>
    <w:rsid w:val="00DD7636"/>
    <w:rsid w:val="00DE0A0D"/>
    <w:rsid w:val="00DE477F"/>
    <w:rsid w:val="00DF030B"/>
    <w:rsid w:val="00DF1C02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54538"/>
    <w:rsid w:val="00E54B2D"/>
    <w:rsid w:val="00E57271"/>
    <w:rsid w:val="00E8032C"/>
    <w:rsid w:val="00E824E4"/>
    <w:rsid w:val="00E855AD"/>
    <w:rsid w:val="00E913DE"/>
    <w:rsid w:val="00E971E3"/>
    <w:rsid w:val="00EB6BEB"/>
    <w:rsid w:val="00EC03FC"/>
    <w:rsid w:val="00EC1CC2"/>
    <w:rsid w:val="00EC2DC8"/>
    <w:rsid w:val="00EC67DA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631F1"/>
    <w:rsid w:val="00F70CEE"/>
    <w:rsid w:val="00F757AF"/>
    <w:rsid w:val="00F771E3"/>
    <w:rsid w:val="00F82C72"/>
    <w:rsid w:val="00F8475A"/>
    <w:rsid w:val="00F87116"/>
    <w:rsid w:val="00F920D5"/>
    <w:rsid w:val="00FA23E6"/>
    <w:rsid w:val="00FA7FE3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6C5C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rms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sif-wf.mrrfeu.h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f.hr/europski-socijalni-fond/kriteriji-odabira/" TargetMode="External"/><Relationship Id="rId23" Type="http://schemas.openxmlformats.org/officeDocument/2006/relationships/theme" Target="theme/theme1.xml"/><Relationship Id="rId10" Type="http://schemas.openxmlformats.org/officeDocument/2006/relationships/image" Target="cid:image001.png@01D1A2EA.AB37C1A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sf@mzos.h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A091-3896-4821-9AF3-85858384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6097</Words>
  <Characters>34755</Characters>
  <Application>Microsoft Office Word</Application>
  <DocSecurity>0</DocSecurity>
  <Lines>289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2</cp:revision>
  <dcterms:created xsi:type="dcterms:W3CDTF">2016-06-02T08:18:00Z</dcterms:created>
  <dcterms:modified xsi:type="dcterms:W3CDTF">2016-06-02T08:18:00Z</dcterms:modified>
</cp:coreProperties>
</file>